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33" w:rsidRDefault="001D4393">
      <w:pPr>
        <w:jc w:val="center"/>
      </w:pPr>
      <w:r w:rsidRPr="001D4393">
        <w:rPr>
          <w:noProof/>
          <w:rtl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0A6" w:rsidRDefault="009C60A6">
      <w:pPr>
        <w:pStyle w:val="Heading1"/>
        <w:jc w:val="center"/>
        <w:rPr>
          <w:rFonts w:cs="Times New Roman"/>
          <w:b/>
          <w:bCs/>
          <w:sz w:val="36"/>
          <w:szCs w:val="36"/>
        </w:rPr>
      </w:pPr>
    </w:p>
    <w:p w:rsidR="00CA3033" w:rsidRPr="003C626B" w:rsidRDefault="003C626B">
      <w:pPr>
        <w:pStyle w:val="Heading1"/>
        <w:jc w:val="center"/>
        <w:rPr>
          <w:rFonts w:cs="Times New Roman"/>
          <w:b/>
          <w:bCs/>
          <w:sz w:val="36"/>
          <w:szCs w:val="36"/>
          <w:lang w:val="en-IE"/>
        </w:rPr>
      </w:pPr>
      <w:r>
        <w:rPr>
          <w:rFonts w:cs="Times New Roman"/>
          <w:b/>
          <w:bCs/>
          <w:sz w:val="36"/>
          <w:szCs w:val="36"/>
          <w:lang w:val="en-IE"/>
        </w:rPr>
        <w:t>State of Palestine</w:t>
      </w:r>
    </w:p>
    <w:p w:rsidR="00CA3033" w:rsidRDefault="00CA3033">
      <w:pPr>
        <w:pStyle w:val="Heading1"/>
        <w:ind w:right="3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Palestinian Central Bureau of Statistics</w:t>
      </w:r>
    </w:p>
    <w:p w:rsidR="00CA3033" w:rsidRDefault="00CA3033"/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>
      <w:pPr>
        <w:jc w:val="right"/>
      </w:pPr>
    </w:p>
    <w:p w:rsidR="00CA3033" w:rsidRDefault="00CA3033"/>
    <w:p w:rsidR="00CA3033" w:rsidRDefault="00CA3033"/>
    <w:p w:rsidR="00CA3033" w:rsidRDefault="00CA3033">
      <w:pPr>
        <w:rPr>
          <w:rtl/>
        </w:rPr>
      </w:pPr>
    </w:p>
    <w:p w:rsidR="002C26A8" w:rsidRDefault="002C26A8"/>
    <w:p w:rsidR="00CA3033" w:rsidRPr="002C26A8" w:rsidRDefault="00CA3033" w:rsidP="002C26A8">
      <w:pPr>
        <w:pStyle w:val="Heading1"/>
        <w:jc w:val="center"/>
        <w:rPr>
          <w:rFonts w:cs="Times New Roman"/>
          <w:b/>
          <w:bCs/>
          <w:sz w:val="34"/>
          <w:szCs w:val="34"/>
        </w:rPr>
      </w:pPr>
      <w:r w:rsidRPr="002C26A8">
        <w:rPr>
          <w:rFonts w:cs="Times New Roman"/>
          <w:b/>
          <w:bCs/>
          <w:sz w:val="34"/>
          <w:szCs w:val="34"/>
        </w:rPr>
        <w:t>Women and Men in Palestine</w:t>
      </w:r>
    </w:p>
    <w:p w:rsidR="00CA3033" w:rsidRPr="002C26A8" w:rsidRDefault="00CF1529" w:rsidP="00CF1529">
      <w:pPr>
        <w:pStyle w:val="Heading1"/>
        <w:jc w:val="center"/>
        <w:rPr>
          <w:rFonts w:cs="Times New Roman"/>
          <w:b/>
          <w:bCs/>
          <w:sz w:val="34"/>
          <w:szCs w:val="34"/>
        </w:rPr>
      </w:pPr>
      <w:r w:rsidRPr="002C26A8">
        <w:rPr>
          <w:rFonts w:cs="Times New Roman"/>
          <w:b/>
          <w:bCs/>
          <w:sz w:val="34"/>
          <w:szCs w:val="34"/>
        </w:rPr>
        <w:t>Issues and Statistics</w:t>
      </w: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>
      <w:pPr>
        <w:pStyle w:val="Heading1"/>
        <w:jc w:val="center"/>
        <w:rPr>
          <w:b/>
          <w:bCs/>
          <w:sz w:val="20"/>
        </w:rPr>
      </w:pPr>
    </w:p>
    <w:p w:rsidR="00CA3033" w:rsidRDefault="00CA3033" w:rsidP="004E4300">
      <w:pPr>
        <w:pStyle w:val="Heading3"/>
        <w:rPr>
          <w:rFonts w:eastAsia="Arial Unicode MS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December</w:t>
      </w:r>
      <w:r w:rsidR="00851F36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</w:t>
      </w:r>
      <w:r w:rsidR="00AB1671">
        <w:rPr>
          <w:rFonts w:cs="Times New Roman"/>
          <w:sz w:val="24"/>
          <w:szCs w:val="24"/>
        </w:rPr>
        <w:t>201</w:t>
      </w:r>
      <w:r w:rsidR="004E4300">
        <w:rPr>
          <w:rFonts w:cs="Times New Roman" w:hint="cs"/>
          <w:sz w:val="24"/>
          <w:szCs w:val="24"/>
          <w:rtl/>
        </w:rPr>
        <w:t>6</w:t>
      </w:r>
    </w:p>
    <w:p w:rsidR="00CA3033" w:rsidRDefault="00CA3033">
      <w:pPr>
        <w:bidi w:val="0"/>
        <w:jc w:val="right"/>
      </w:pPr>
    </w:p>
    <w:p w:rsidR="00CA3033" w:rsidRDefault="00CA3033">
      <w:pPr>
        <w:bidi w:val="0"/>
        <w:ind w:left="284" w:right="720"/>
        <w:jc w:val="lowKashida"/>
        <w:rPr>
          <w:sz w:val="22"/>
          <w:szCs w:val="22"/>
        </w:rPr>
      </w:pPr>
    </w:p>
    <w:p w:rsidR="009E6625" w:rsidRDefault="009E6625" w:rsidP="009E6625">
      <w:pPr>
        <w:bidi w:val="0"/>
        <w:ind w:left="284" w:right="720"/>
        <w:jc w:val="lowKashida"/>
        <w:rPr>
          <w:sz w:val="22"/>
          <w:szCs w:val="22"/>
        </w:rPr>
      </w:pPr>
    </w:p>
    <w:p w:rsidR="009E6625" w:rsidRDefault="009E6625" w:rsidP="009E6625">
      <w:pPr>
        <w:bidi w:val="0"/>
        <w:ind w:left="284" w:right="720"/>
        <w:jc w:val="lowKashida"/>
        <w:rPr>
          <w:sz w:val="22"/>
          <w:szCs w:val="22"/>
        </w:rPr>
      </w:pPr>
    </w:p>
    <w:p w:rsidR="00CA3033" w:rsidRDefault="00CA3033">
      <w:pPr>
        <w:bidi w:val="0"/>
        <w:rPr>
          <w:b/>
          <w:bCs/>
        </w:rPr>
      </w:pPr>
    </w:p>
    <w:p w:rsidR="00CA3033" w:rsidRPr="009E6625" w:rsidRDefault="00CA3033" w:rsidP="00903A9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 w:val="0"/>
          <w:bCs w:val="0"/>
          <w:sz w:val="22"/>
          <w:szCs w:val="22"/>
          <w:rtl/>
          <w:lang w:val="en-AU"/>
        </w:rPr>
      </w:pPr>
      <w:r w:rsidRPr="009E6625">
        <w:rPr>
          <w:rFonts w:ascii="Times New Roman" w:hAnsi="Times New Roman" w:cs="Times New Roman"/>
          <w:sz w:val="22"/>
          <w:szCs w:val="22"/>
        </w:rPr>
        <w:t>This document is prepared in accordance with the standard procedures stated in the Code of Practice for Palestine Official Statistics 2006</w:t>
      </w:r>
    </w:p>
    <w:p w:rsidR="009E6625" w:rsidRDefault="009E6625" w:rsidP="009E6625">
      <w:pPr>
        <w:bidi w:val="0"/>
        <w:jc w:val="center"/>
        <w:rPr>
          <w:b/>
          <w:bCs/>
        </w:rPr>
      </w:pPr>
    </w:p>
    <w:p w:rsidR="009E6625" w:rsidRDefault="009E6625" w:rsidP="009E6625">
      <w:pPr>
        <w:bidi w:val="0"/>
        <w:jc w:val="center"/>
        <w:rPr>
          <w:b/>
          <w:bCs/>
        </w:rPr>
      </w:pPr>
    </w:p>
    <w:p w:rsidR="00CA3033" w:rsidRDefault="00CA3033" w:rsidP="009E6625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  <w:noProof/>
          <w:lang w:eastAsia="en-US"/>
        </w:rPr>
      </w:pPr>
    </w:p>
    <w:p w:rsidR="00CF1529" w:rsidRDefault="00CF1529" w:rsidP="00CF1529">
      <w:pPr>
        <w:bidi w:val="0"/>
        <w:jc w:val="center"/>
        <w:rPr>
          <w:b/>
          <w:bCs/>
        </w:rPr>
      </w:pPr>
    </w:p>
    <w:p w:rsidR="00CA3033" w:rsidRDefault="00CA3033">
      <w:pPr>
        <w:bidi w:val="0"/>
        <w:rPr>
          <w:b/>
          <w:bCs/>
          <w:sz w:val="22"/>
          <w:szCs w:val="22"/>
        </w:rPr>
      </w:pPr>
    </w:p>
    <w:p w:rsidR="00CA3033" w:rsidRDefault="00CA3033">
      <w:pPr>
        <w:bidi w:val="0"/>
        <w:rPr>
          <w:b/>
          <w:bCs/>
          <w:sz w:val="22"/>
          <w:szCs w:val="22"/>
        </w:rPr>
      </w:pPr>
    </w:p>
    <w:p w:rsidR="00CA3033" w:rsidRDefault="00CA3033">
      <w:pPr>
        <w:bidi w:val="0"/>
        <w:rPr>
          <w:b/>
          <w:bCs/>
          <w:sz w:val="22"/>
          <w:szCs w:val="22"/>
        </w:rPr>
      </w:pPr>
    </w:p>
    <w:p w:rsidR="00CA3033" w:rsidRDefault="00CA3033">
      <w:pPr>
        <w:bidi w:val="0"/>
        <w:rPr>
          <w:b/>
          <w:bCs/>
          <w:sz w:val="22"/>
          <w:szCs w:val="22"/>
        </w:rPr>
      </w:pPr>
    </w:p>
    <w:p w:rsidR="00CA3033" w:rsidRDefault="00CA3033" w:rsidP="004E4300">
      <w:pPr>
        <w:pStyle w:val="Footer"/>
        <w:tabs>
          <w:tab w:val="clear" w:pos="4153"/>
          <w:tab w:val="clear" w:pos="8306"/>
        </w:tabs>
        <w:bidi w:val="0"/>
        <w:spacing w:line="360" w:lineRule="auto"/>
        <w:rPr>
          <w:rFonts w:cs="Times New Roman"/>
          <w:sz w:val="18"/>
          <w:szCs w:val="18"/>
          <w:lang w:eastAsia="ar-SA"/>
        </w:rPr>
      </w:pPr>
      <w:r>
        <w:rPr>
          <w:rFonts w:cs="Times New Roman"/>
          <w:sz w:val="18"/>
          <w:szCs w:val="18"/>
          <w:lang w:eastAsia="ar-SA"/>
        </w:rPr>
        <w:sym w:font="Symbol" w:char="F0E3"/>
      </w:r>
      <w:r>
        <w:rPr>
          <w:rFonts w:cs="Times New Roman"/>
          <w:sz w:val="18"/>
          <w:szCs w:val="18"/>
          <w:lang w:eastAsia="ar-SA"/>
        </w:rPr>
        <w:t xml:space="preserve"> December, </w:t>
      </w:r>
      <w:r w:rsidR="00AB1671">
        <w:rPr>
          <w:rFonts w:cs="Times New Roman"/>
          <w:sz w:val="18"/>
          <w:szCs w:val="18"/>
          <w:lang w:eastAsia="ar-SA"/>
        </w:rPr>
        <w:t>201</w:t>
      </w:r>
      <w:r w:rsidR="004E4300">
        <w:rPr>
          <w:rFonts w:cs="Times New Roman" w:hint="cs"/>
          <w:sz w:val="18"/>
          <w:szCs w:val="18"/>
          <w:rtl/>
          <w:lang w:eastAsia="ar-SA"/>
        </w:rPr>
        <w:t>6</w:t>
      </w:r>
    </w:p>
    <w:p w:rsidR="00CA3033" w:rsidRDefault="00CA303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All rights reserved</w:t>
      </w:r>
    </w:p>
    <w:p w:rsidR="00CA3033" w:rsidRDefault="00CA3033">
      <w:pPr>
        <w:bidi w:val="0"/>
        <w:rPr>
          <w:b/>
          <w:bCs/>
          <w:sz w:val="18"/>
          <w:szCs w:val="18"/>
        </w:rPr>
      </w:pPr>
    </w:p>
    <w:p w:rsidR="00CA3033" w:rsidRDefault="00CA303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Citation:</w:t>
      </w:r>
    </w:p>
    <w:p w:rsidR="00CA3033" w:rsidRDefault="00CA3033">
      <w:pPr>
        <w:pStyle w:val="Footer"/>
        <w:tabs>
          <w:tab w:val="clear" w:pos="4153"/>
          <w:tab w:val="clear" w:pos="8306"/>
        </w:tabs>
        <w:bidi w:val="0"/>
        <w:rPr>
          <w:rFonts w:cs="Times New Roman"/>
          <w:lang w:eastAsia="ar-SA"/>
        </w:rPr>
      </w:pPr>
    </w:p>
    <w:p w:rsidR="00CA3033" w:rsidRDefault="00CA3033" w:rsidP="004E4300">
      <w:pPr>
        <w:pStyle w:val="Heading1"/>
        <w:rPr>
          <w:rFonts w:cs="Times New Roman"/>
          <w:b/>
          <w:bCs/>
          <w:i/>
          <w:i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 xml:space="preserve">Palestinian Central Bureau of Statistics, </w:t>
      </w:r>
      <w:r w:rsidR="00AB1671">
        <w:rPr>
          <w:rFonts w:cs="Times New Roman"/>
          <w:b/>
          <w:bCs/>
          <w:sz w:val="21"/>
          <w:szCs w:val="21"/>
        </w:rPr>
        <w:t>201</w:t>
      </w:r>
      <w:r w:rsidR="004E4300">
        <w:rPr>
          <w:rFonts w:cs="Times New Roman" w:hint="cs"/>
          <w:b/>
          <w:bCs/>
          <w:sz w:val="21"/>
          <w:szCs w:val="21"/>
          <w:rtl/>
        </w:rPr>
        <w:t>6</w:t>
      </w:r>
      <w:r>
        <w:rPr>
          <w:rFonts w:cs="Times New Roman"/>
          <w:sz w:val="21"/>
          <w:szCs w:val="21"/>
        </w:rPr>
        <w:t>.</w:t>
      </w:r>
      <w:r>
        <w:rPr>
          <w:rFonts w:cs="Times New Roman"/>
          <w:i/>
          <w:iCs/>
          <w:sz w:val="21"/>
          <w:szCs w:val="21"/>
        </w:rPr>
        <w:t xml:space="preserve">  </w:t>
      </w:r>
      <w:r>
        <w:rPr>
          <w:rFonts w:cs="Times New Roman"/>
          <w:sz w:val="21"/>
          <w:szCs w:val="21"/>
        </w:rPr>
        <w:t xml:space="preserve">Women and Men in Palestine: Issues and Statistics, </w:t>
      </w:r>
      <w:r w:rsidR="00AB1671">
        <w:rPr>
          <w:rFonts w:cs="Times New Roman"/>
          <w:sz w:val="21"/>
          <w:szCs w:val="21"/>
        </w:rPr>
        <w:t>201</w:t>
      </w:r>
      <w:r w:rsidR="004E4300">
        <w:rPr>
          <w:rFonts w:cs="Times New Roman" w:hint="cs"/>
          <w:sz w:val="21"/>
          <w:szCs w:val="21"/>
          <w:rtl/>
        </w:rPr>
        <w:t>6</w:t>
      </w:r>
      <w:r>
        <w:rPr>
          <w:rFonts w:cs="Times New Roman"/>
          <w:sz w:val="21"/>
          <w:szCs w:val="21"/>
        </w:rPr>
        <w:t xml:space="preserve">. </w:t>
      </w:r>
      <w:r>
        <w:rPr>
          <w:rFonts w:cs="Times New Roman"/>
          <w:b/>
          <w:bCs/>
          <w:sz w:val="21"/>
          <w:szCs w:val="21"/>
        </w:rPr>
        <w:t xml:space="preserve">  Ramallah - Palestine.                                                                </w:t>
      </w:r>
    </w:p>
    <w:p w:rsidR="00CA3033" w:rsidRDefault="00CA3033">
      <w:pPr>
        <w:bidi w:val="0"/>
        <w:rPr>
          <w:b/>
          <w:bCs/>
          <w:sz w:val="20"/>
          <w:szCs w:val="20"/>
          <w:u w:val="single"/>
        </w:rPr>
      </w:pPr>
    </w:p>
    <w:p w:rsidR="007041A3" w:rsidRDefault="007041A3" w:rsidP="007041A3">
      <w:pPr>
        <w:pStyle w:val="BodyText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 w:val="0"/>
          <w:bCs w:val="0"/>
          <w:sz w:val="18"/>
          <w:szCs w:val="18"/>
        </w:rPr>
        <w:t>All correspondences should be directed to:</w:t>
      </w:r>
    </w:p>
    <w:p w:rsidR="007041A3" w:rsidRDefault="007041A3" w:rsidP="007041A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Palestinian Central Bureau of Statistics</w:t>
      </w:r>
    </w:p>
    <w:p w:rsidR="007041A3" w:rsidRDefault="007041A3" w:rsidP="007041A3">
      <w:pPr>
        <w:bidi w:val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P.O. Box 1647 Ramallah, Palestine.</w:t>
      </w:r>
    </w:p>
    <w:p w:rsidR="00CA3033" w:rsidRDefault="00CA3033">
      <w:pPr>
        <w:bidi w:val="0"/>
        <w:rPr>
          <w:sz w:val="18"/>
          <w:szCs w:val="18"/>
        </w:rPr>
      </w:pP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Tel: (972/970) 2982700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Fax: (972/970) 2982710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>Toll free: 1800300300</w:t>
      </w:r>
    </w:p>
    <w:p w:rsidR="00CA3033" w:rsidRDefault="00CA3033">
      <w:pPr>
        <w:bidi w:val="0"/>
        <w:rPr>
          <w:sz w:val="18"/>
          <w:szCs w:val="18"/>
        </w:rPr>
      </w:pPr>
      <w:r>
        <w:rPr>
          <w:sz w:val="18"/>
          <w:szCs w:val="18"/>
        </w:rPr>
        <w:t xml:space="preserve">E-mail: </w:t>
      </w:r>
      <w:hyperlink r:id="rId10" w:history="1">
        <w:r>
          <w:rPr>
            <w:sz w:val="18"/>
            <w:szCs w:val="18"/>
          </w:rPr>
          <w:t>diwan@pcbs.gov.ps</w:t>
        </w:r>
      </w:hyperlink>
    </w:p>
    <w:p w:rsidR="00CA3033" w:rsidRDefault="00CA3033" w:rsidP="004E4300">
      <w:pPr>
        <w:bidi w:val="0"/>
        <w:rPr>
          <w:sz w:val="18"/>
          <w:szCs w:val="18"/>
        </w:rPr>
      </w:pPr>
      <w:r>
        <w:rPr>
          <w:sz w:val="18"/>
          <w:szCs w:val="18"/>
        </w:rPr>
        <w:t xml:space="preserve">web-site: </w:t>
      </w:r>
      <w:hyperlink r:id="rId11" w:history="1">
        <w:r>
          <w:rPr>
            <w:rStyle w:val="Hyperlink"/>
            <w:sz w:val="18"/>
            <w:szCs w:val="18"/>
          </w:rPr>
          <w:t>http://www.pcbs.gov.ps</w:t>
        </w:r>
      </w:hyperlink>
      <w:r w:rsidR="00FF2C1C">
        <w:rPr>
          <w:sz w:val="18"/>
          <w:szCs w:val="18"/>
        </w:rPr>
        <w:t xml:space="preserve">                              </w:t>
      </w:r>
      <w:r w:rsidR="00FF2C1C" w:rsidRPr="00FF2C1C">
        <w:rPr>
          <w:b/>
          <w:bCs/>
          <w:sz w:val="18"/>
          <w:szCs w:val="18"/>
        </w:rPr>
        <w:t>Reference ID:</w:t>
      </w:r>
      <w:r w:rsidR="00652E58">
        <w:rPr>
          <w:b/>
          <w:bCs/>
          <w:sz w:val="18"/>
          <w:szCs w:val="18"/>
        </w:rPr>
        <w:t xml:space="preserve"> 2237</w:t>
      </w:r>
      <w:r w:rsidR="00FF2C1C">
        <w:rPr>
          <w:sz w:val="18"/>
          <w:szCs w:val="18"/>
        </w:rPr>
        <w:t xml:space="preserve"> </w:t>
      </w:r>
    </w:p>
    <w:p w:rsidR="00CA3033" w:rsidRDefault="00CA3033">
      <w:pPr>
        <w:bidi w:val="0"/>
        <w:rPr>
          <w:sz w:val="18"/>
          <w:szCs w:val="18"/>
        </w:rPr>
      </w:pPr>
    </w:p>
    <w:p w:rsidR="00CF1529" w:rsidRDefault="00CF1529">
      <w:pPr>
        <w:pStyle w:val="Heading6"/>
        <w:bidi w:val="0"/>
        <w:jc w:val="center"/>
        <w:rPr>
          <w:b/>
          <w:bCs/>
        </w:rPr>
      </w:pPr>
    </w:p>
    <w:p w:rsidR="00CA3033" w:rsidRPr="00903A9E" w:rsidRDefault="00CA3033" w:rsidP="00CF1529">
      <w:pPr>
        <w:pStyle w:val="Heading6"/>
        <w:bidi w:val="0"/>
        <w:jc w:val="center"/>
        <w:rPr>
          <w:b/>
          <w:bCs/>
        </w:rPr>
      </w:pPr>
      <w:r w:rsidRPr="00903A9E">
        <w:rPr>
          <w:b/>
          <w:bCs/>
        </w:rPr>
        <w:t xml:space="preserve">Acknowledgment </w:t>
      </w:r>
    </w:p>
    <w:p w:rsidR="00CA3033" w:rsidRPr="00903A9E" w:rsidRDefault="00CA3033">
      <w:pPr>
        <w:pStyle w:val="BodyText2"/>
        <w:jc w:val="both"/>
        <w:rPr>
          <w:b/>
          <w:bCs/>
          <w:sz w:val="28"/>
          <w:szCs w:val="28"/>
        </w:rPr>
      </w:pPr>
    </w:p>
    <w:p w:rsidR="007041A3" w:rsidRPr="00903A9E" w:rsidRDefault="007041A3" w:rsidP="007041A3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903A9E">
        <w:rPr>
          <w:rStyle w:val="longtext1"/>
          <w:b/>
          <w:bCs/>
          <w:spacing w:val="0"/>
          <w:shd w:val="clear" w:color="auto" w:fill="FFFFFF"/>
          <w:lang w:eastAsia="ar-SA"/>
        </w:rPr>
        <w:t>A technical team at the Palestinian Central Bureau of Statistics (PCBS) prepared the report “Women and Men in Palestine: Issues</w:t>
      </w:r>
      <w:r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 and               Statistics</w:t>
      </w:r>
      <w:r w:rsidRPr="00903A9E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”. </w:t>
      </w:r>
    </w:p>
    <w:p w:rsidR="007041A3" w:rsidRPr="00903A9E" w:rsidRDefault="007041A3" w:rsidP="007041A3">
      <w:pPr>
        <w:rPr>
          <w:b/>
          <w:bCs/>
        </w:rPr>
      </w:pPr>
    </w:p>
    <w:p w:rsidR="007041A3" w:rsidRPr="00625A69" w:rsidRDefault="007041A3" w:rsidP="007041A3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The funds for preparing this report were provided by the State of Palestine and </w:t>
      </w:r>
      <w:r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the United Nations Entity for Gender Equality and the Empowerment of Women (UN WOMEN) </w:t>
      </w: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>.</w:t>
      </w:r>
    </w:p>
    <w:p w:rsidR="007041A3" w:rsidRPr="00625A69" w:rsidRDefault="007041A3" w:rsidP="007041A3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</w:p>
    <w:p w:rsidR="007041A3" w:rsidRPr="00625A69" w:rsidRDefault="007041A3" w:rsidP="007041A3">
      <w:pPr>
        <w:pStyle w:val="Heading1"/>
        <w:rPr>
          <w:rStyle w:val="longtext1"/>
          <w:b/>
          <w:bCs/>
          <w:spacing w:val="0"/>
          <w:shd w:val="clear" w:color="auto" w:fill="FFFFFF"/>
          <w:lang w:eastAsia="ar-SA"/>
        </w:rPr>
      </w:pP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Moreover, PCBS very much appreciates the distinctive efforts </w:t>
      </w:r>
      <w:r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and support </w:t>
      </w: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of the </w:t>
      </w:r>
      <w:r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United Nations Entity for Gender Equality and the Empowerment of Women (UN WOMEN) </w:t>
      </w: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for their valuable contribution </w:t>
      </w:r>
      <w:r>
        <w:rPr>
          <w:rStyle w:val="longtext1"/>
          <w:b/>
          <w:bCs/>
          <w:spacing w:val="0"/>
          <w:shd w:val="clear" w:color="auto" w:fill="FFFFFF"/>
          <w:lang w:eastAsia="ar-SA"/>
        </w:rPr>
        <w:t>in</w:t>
      </w:r>
      <w:r w:rsidRPr="00625A69">
        <w:rPr>
          <w:rStyle w:val="longtext1"/>
          <w:b/>
          <w:bCs/>
          <w:spacing w:val="0"/>
          <w:shd w:val="clear" w:color="auto" w:fill="FFFFFF"/>
          <w:lang w:eastAsia="ar-SA"/>
        </w:rPr>
        <w:t xml:space="preserve"> funding the project. </w:t>
      </w:r>
    </w:p>
    <w:p w:rsidR="00CA3033" w:rsidRDefault="00CA3033">
      <w:pPr>
        <w:tabs>
          <w:tab w:val="left" w:pos="4395"/>
        </w:tabs>
        <w:bidi w:val="0"/>
        <w:jc w:val="lowKashida"/>
        <w:rPr>
          <w:rStyle w:val="longtext1"/>
          <w:rFonts w:cs="Traditional Arabic"/>
          <w:b/>
          <w:bCs/>
          <w:spacing w:val="0"/>
          <w:shd w:val="clear" w:color="auto" w:fill="FFFFFF"/>
        </w:rPr>
      </w:pPr>
    </w:p>
    <w:p w:rsidR="00CA3033" w:rsidRDefault="00CA3033">
      <w:pPr>
        <w:bidi w:val="0"/>
        <w:jc w:val="lowKashida"/>
        <w:rPr>
          <w:sz w:val="23"/>
          <w:szCs w:val="23"/>
        </w:rPr>
      </w:pPr>
    </w:p>
    <w:p w:rsidR="00CA3033" w:rsidRDefault="00CA3033">
      <w:pPr>
        <w:pStyle w:val="Heading3"/>
        <w:jc w:val="left"/>
        <w:rPr>
          <w:sz w:val="24"/>
          <w:szCs w:val="24"/>
          <w:lang w:val="en-AU"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</w:t>
      </w:r>
    </w:p>
    <w:p w:rsidR="00CA3033" w:rsidRDefault="00CA3033">
      <w:pPr>
        <w:pStyle w:val="Heading3"/>
        <w:jc w:val="left"/>
        <w:rPr>
          <w:sz w:val="24"/>
          <w:szCs w:val="24"/>
          <w:rtl/>
          <w:lang w:val="en-AU"/>
        </w:rPr>
      </w:pPr>
    </w:p>
    <w:p w:rsidR="00CA3033" w:rsidRDefault="00CA3033">
      <w:pPr>
        <w:jc w:val="both"/>
        <w:outlineLvl w:val="0"/>
        <w:rPr>
          <w:rFonts w:cs="Simplified Arabic"/>
          <w:b/>
          <w:bCs/>
          <w:sz w:val="20"/>
          <w:szCs w:val="20"/>
          <w:rtl/>
          <w:lang w:val="en-AU"/>
        </w:rPr>
      </w:pPr>
    </w:p>
    <w:p w:rsidR="00905221" w:rsidRDefault="00CA3033">
      <w:pPr>
        <w:bidi w:val="0"/>
        <w:rPr>
          <w:b/>
          <w:bCs/>
        </w:rPr>
      </w:pPr>
      <w:r>
        <w:br w:type="page"/>
      </w:r>
      <w:r w:rsidR="00905221">
        <w:lastRenderedPageBreak/>
        <w:br w:type="page"/>
      </w:r>
    </w:p>
    <w:p w:rsidR="00CA3033" w:rsidRDefault="00CA3033" w:rsidP="00CA2DAF">
      <w:pPr>
        <w:pStyle w:val="Heading4"/>
        <w:bidi w:val="0"/>
        <w:snapToGrid w:val="0"/>
        <w:rPr>
          <w:lang w:eastAsia="en-US"/>
        </w:rPr>
      </w:pPr>
      <w:r>
        <w:lastRenderedPageBreak/>
        <w:t xml:space="preserve">Team Work </w:t>
      </w:r>
    </w:p>
    <w:p w:rsidR="00CA3033" w:rsidRDefault="00CA3033">
      <w:pPr>
        <w:bidi w:val="0"/>
        <w:snapToGrid w:val="0"/>
        <w:jc w:val="center"/>
        <w:rPr>
          <w:b/>
          <w:bCs/>
          <w:sz w:val="28"/>
          <w:szCs w:val="28"/>
        </w:rPr>
      </w:pPr>
    </w:p>
    <w:tbl>
      <w:tblPr>
        <w:tblW w:w="6878" w:type="dxa"/>
        <w:tblInd w:w="250" w:type="dxa"/>
        <w:tblLook w:val="0000"/>
      </w:tblPr>
      <w:tblGrid>
        <w:gridCol w:w="3278"/>
        <w:gridCol w:w="1440"/>
        <w:gridCol w:w="2160"/>
      </w:tblGrid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Report Preparation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77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427"/>
        </w:trPr>
        <w:tc>
          <w:tcPr>
            <w:tcW w:w="3278" w:type="dxa"/>
            <w:vAlign w:val="center"/>
          </w:tcPr>
          <w:p w:rsidR="00F649BC" w:rsidRPr="00BB0872" w:rsidRDefault="00F649BC">
            <w:pPr>
              <w:ind w:right="317"/>
              <w:jc w:val="right"/>
              <w:rPr>
                <w:sz w:val="8"/>
                <w:szCs w:val="8"/>
                <w:rtl/>
              </w:rPr>
            </w:pPr>
          </w:p>
          <w:p w:rsidR="00CA3033" w:rsidRDefault="00CA3033">
            <w:pPr>
              <w:ind w:right="317"/>
              <w:jc w:val="right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Ashraf Hamdan</w:t>
            </w:r>
          </w:p>
          <w:p w:rsidR="00CA3033" w:rsidRDefault="00D94F74" w:rsidP="00903A9E">
            <w:pPr>
              <w:ind w:right="3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Maheera Qundah</w:t>
            </w:r>
          </w:p>
          <w:p w:rsidR="00D94F74" w:rsidRDefault="00D94F74" w:rsidP="00903A9E">
            <w:pPr>
              <w:ind w:right="317"/>
              <w:jc w:val="right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CA3033" w:rsidRDefault="00CA3033">
            <w:pPr>
              <w:ind w:left="412"/>
              <w:jc w:val="right"/>
              <w:rPr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Preliminary Review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646"/>
        </w:trPr>
        <w:tc>
          <w:tcPr>
            <w:tcW w:w="3278" w:type="dxa"/>
            <w:vAlign w:val="center"/>
          </w:tcPr>
          <w:p w:rsidR="00F649BC" w:rsidRPr="00D94F74" w:rsidRDefault="00D94F74" w:rsidP="00D94F74">
            <w:pPr>
              <w:bidi w:val="0"/>
              <w:ind w:righ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94F74">
              <w:rPr>
                <w:sz w:val="20"/>
                <w:szCs w:val="20"/>
              </w:rPr>
              <w:t>Mustafa  Khawaja</w:t>
            </w:r>
          </w:p>
          <w:p w:rsidR="007E4CB7" w:rsidRPr="00903A9E" w:rsidRDefault="007E4CB7" w:rsidP="00D94F74">
            <w:pPr>
              <w:bidi w:val="0"/>
              <w:ind w:right="317"/>
              <w:rPr>
                <w:sz w:val="20"/>
                <w:szCs w:val="20"/>
                <w:rtl/>
              </w:rPr>
            </w:pP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499"/>
        </w:trPr>
        <w:tc>
          <w:tcPr>
            <w:tcW w:w="4718" w:type="dxa"/>
            <w:gridSpan w:val="2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clear" w:pos="1440"/>
                <w:tab w:val="right" w:pos="176"/>
                <w:tab w:val="num" w:pos="3350"/>
              </w:tabs>
              <w:bidi w:val="0"/>
              <w:ind w:left="34" w:right="-1728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Final Review </w:t>
            </w:r>
          </w:p>
        </w:tc>
        <w:tc>
          <w:tcPr>
            <w:tcW w:w="2160" w:type="dxa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BF2AE2" w:rsidRPr="004E4300" w:rsidRDefault="00D94F74" w:rsidP="00742BE4">
            <w:pPr>
              <w:ind w:right="317"/>
              <w:jc w:val="right"/>
              <w:rPr>
                <w:color w:val="FF0000"/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 xml:space="preserve">Mohammed </w:t>
            </w:r>
            <w:proofErr w:type="spellStart"/>
            <w:r>
              <w:rPr>
                <w:sz w:val="20"/>
                <w:szCs w:val="20"/>
              </w:rPr>
              <w:t>Qalalwa</w:t>
            </w:r>
            <w:proofErr w:type="spellEnd"/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397"/>
        </w:trPr>
        <w:tc>
          <w:tcPr>
            <w:tcW w:w="3278" w:type="dxa"/>
            <w:vAlign w:val="center"/>
          </w:tcPr>
          <w:p w:rsidR="00CA3033" w:rsidRDefault="00CA3033" w:rsidP="00CA3033">
            <w:pPr>
              <w:numPr>
                <w:ilvl w:val="0"/>
                <w:numId w:val="2"/>
              </w:numPr>
              <w:tabs>
                <w:tab w:val="right" w:pos="176"/>
              </w:tabs>
              <w:bidi w:val="0"/>
              <w:ind w:left="34" w:right="153"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Overall Supervision</w:t>
            </w:r>
          </w:p>
        </w:tc>
        <w:tc>
          <w:tcPr>
            <w:tcW w:w="3600" w:type="dxa"/>
            <w:gridSpan w:val="2"/>
          </w:tcPr>
          <w:p w:rsidR="00CA3033" w:rsidRDefault="00CA3033">
            <w:pPr>
              <w:ind w:left="412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A3033" w:rsidTr="00CA2DAF">
        <w:trPr>
          <w:trHeight w:val="646"/>
        </w:trPr>
        <w:tc>
          <w:tcPr>
            <w:tcW w:w="3278" w:type="dxa"/>
            <w:vAlign w:val="center"/>
          </w:tcPr>
          <w:p w:rsidR="00CA3033" w:rsidRDefault="00CA3033">
            <w:pPr>
              <w:ind w:right="290"/>
              <w:jc w:val="right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Ola Awad</w:t>
            </w:r>
          </w:p>
        </w:tc>
        <w:tc>
          <w:tcPr>
            <w:tcW w:w="3600" w:type="dxa"/>
            <w:gridSpan w:val="2"/>
            <w:vAlign w:val="center"/>
          </w:tcPr>
          <w:p w:rsidR="00CA3033" w:rsidRDefault="00CA3033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President of PCBS</w:t>
            </w:r>
          </w:p>
        </w:tc>
      </w:tr>
    </w:tbl>
    <w:p w:rsidR="00CA3033" w:rsidRDefault="00CA3033" w:rsidP="00CC0B56">
      <w:pPr>
        <w:bidi w:val="0"/>
        <w:jc w:val="center"/>
      </w:pPr>
      <w:r>
        <w:br w:type="page"/>
      </w:r>
      <w:r w:rsidR="00CC0B56">
        <w:lastRenderedPageBreak/>
        <w:br w:type="page"/>
      </w:r>
    </w:p>
    <w:p w:rsidR="00CA3033" w:rsidRDefault="00CA3033">
      <w:pPr>
        <w:pStyle w:val="Caption"/>
        <w:bidi w:val="0"/>
        <w:ind w:left="-2" w:firstLine="2"/>
        <w:rPr>
          <w:rFonts w:cs="Times New Roman"/>
          <w:szCs w:val="24"/>
          <w:rtl/>
          <w:lang w:val="en-AU"/>
        </w:rPr>
      </w:pPr>
      <w:r>
        <w:rPr>
          <w:rFonts w:cs="Times New Roman"/>
          <w:szCs w:val="24"/>
        </w:rPr>
        <w:lastRenderedPageBreak/>
        <w:t>Table of Contents</w:t>
      </w:r>
    </w:p>
    <w:p w:rsidR="00CA3033" w:rsidRDefault="00CA303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  <w:lang w:val="en-AU"/>
        </w:rPr>
      </w:pPr>
    </w:p>
    <w:tbl>
      <w:tblPr>
        <w:bidiVisual/>
        <w:tblW w:w="6717" w:type="dxa"/>
        <w:jc w:val="center"/>
        <w:tblLayout w:type="fixed"/>
        <w:tblLook w:val="0000"/>
      </w:tblPr>
      <w:tblGrid>
        <w:gridCol w:w="1112"/>
        <w:gridCol w:w="5174"/>
        <w:gridCol w:w="431"/>
      </w:tblGrid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Page</w:t>
            </w: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4"/>
              <w:jc w:val="right"/>
              <w:rPr>
                <w:sz w:val="20"/>
                <w:szCs w:val="20"/>
                <w:rtl/>
                <w:lang w:val="en-AU"/>
              </w:rPr>
            </w:pPr>
            <w:r>
              <w:rPr>
                <w:sz w:val="20"/>
                <w:szCs w:val="20"/>
              </w:rPr>
              <w:t>Subject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  <w:rtl/>
                <w:lang w:val="en-AU" w:bidi="ar-EG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spacing w:before="100" w:beforeAutospacing="1"/>
              <w:ind w:right="868"/>
              <w:rPr>
                <w:b/>
                <w:bCs/>
                <w:sz w:val="20"/>
                <w:szCs w:val="20"/>
                <w:rtl/>
                <w:lang w:val="en-AU" w:bidi="ar-EG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  <w:r>
              <w:rPr>
                <w:rFonts w:cs="Simplified Arabic"/>
                <w:b w:val="0"/>
                <w:bCs w:val="0"/>
              </w:rPr>
              <w:t>List of Tables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pStyle w:val="Heading4"/>
              <w:rPr>
                <w:sz w:val="20"/>
                <w:szCs w:val="20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pStyle w:val="Heading2"/>
              <w:tabs>
                <w:tab w:val="left" w:pos="3996"/>
              </w:tabs>
              <w:snapToGrid/>
              <w:spacing w:before="100" w:beforeAutospacing="1"/>
              <w:rPr>
                <w:rFonts w:cs="Simplified Arabic"/>
                <w:b w:val="0"/>
                <w:bCs w:val="0"/>
              </w:rPr>
            </w:pPr>
            <w:r>
              <w:rPr>
                <w:rFonts w:cs="Simplified Arabic"/>
                <w:b w:val="0"/>
                <w:bCs w:val="0"/>
              </w:rPr>
              <w:t>List of Figures</w:t>
            </w: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BA473D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A473D" w:rsidRDefault="00BA473D">
            <w:pPr>
              <w:tabs>
                <w:tab w:val="left" w:pos="497"/>
              </w:tabs>
              <w:ind w:left="857" w:firstLine="36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174" w:type="dxa"/>
            <w:vAlign w:val="center"/>
          </w:tcPr>
          <w:p w:rsidR="00BA473D" w:rsidRDefault="00BA473D">
            <w:pPr>
              <w:tabs>
                <w:tab w:val="left" w:pos="3996"/>
              </w:tabs>
              <w:spacing w:before="100" w:beforeAutospacing="1"/>
              <w:jc w:val="right"/>
              <w:rPr>
                <w:b/>
                <w:bCs/>
                <w:sz w:val="20"/>
                <w:szCs w:val="20"/>
                <w:rtl/>
                <w:lang w:val="en-AU" w:bidi="ar-EG"/>
              </w:rPr>
            </w:pPr>
          </w:p>
        </w:tc>
        <w:tc>
          <w:tcPr>
            <w:tcW w:w="431" w:type="dxa"/>
            <w:vAlign w:val="center"/>
          </w:tcPr>
          <w:p w:rsidR="00BA473D" w:rsidRDefault="00BA473D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964EDB" w:rsidP="004E2F4C">
            <w:pPr>
              <w:pStyle w:val="Heading2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5174" w:type="dxa"/>
            <w:vAlign w:val="center"/>
          </w:tcPr>
          <w:p w:rsidR="004E2F4C" w:rsidRDefault="004E2F4C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Introduction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ind w:right="868"/>
              <w:jc w:val="center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Default="004E2F4C" w:rsidP="004E2F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b/>
                <w:bCs/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964EDB" w:rsidP="004E2F4C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15</w:t>
            </w:r>
          </w:p>
        </w:tc>
        <w:tc>
          <w:tcPr>
            <w:tcW w:w="5174" w:type="dxa"/>
            <w:vAlign w:val="center"/>
          </w:tcPr>
          <w:p w:rsidR="004E2F4C" w:rsidRDefault="004E2F4C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Population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Default="004E2F4C" w:rsidP="004E2F4C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4E2F4C" w:rsidRDefault="00D94F74" w:rsidP="00D94F7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174" w:type="dxa"/>
            <w:vAlign w:val="center"/>
          </w:tcPr>
          <w:p w:rsidR="004E2F4C" w:rsidRDefault="00507A39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  <w:rtl/>
              </w:rPr>
            </w:pPr>
            <w:r>
              <w:rPr>
                <w:rFonts w:cs="Simplified Arabic"/>
              </w:rPr>
              <w:t>Education</w:t>
            </w: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4E2F4C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4E2F4C" w:rsidRPr="004E4300" w:rsidRDefault="004E2F4C" w:rsidP="004E2F4C">
            <w:pPr>
              <w:jc w:val="center"/>
              <w:rPr>
                <w:rFonts w:cs="Simplified Arabic"/>
                <w:b/>
                <w:bCs/>
                <w:color w:val="FF0000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4E2F4C" w:rsidRPr="004E4300" w:rsidRDefault="004E2F4C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4E2F4C" w:rsidRDefault="004E2F4C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241700" w:rsidRPr="00E70A7D" w:rsidRDefault="00964EDB" w:rsidP="006B4BD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31</w:t>
            </w:r>
          </w:p>
        </w:tc>
        <w:tc>
          <w:tcPr>
            <w:tcW w:w="5174" w:type="dxa"/>
            <w:vAlign w:val="center"/>
          </w:tcPr>
          <w:p w:rsidR="00241700" w:rsidRDefault="00241700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Health</w:t>
            </w:r>
          </w:p>
        </w:tc>
        <w:tc>
          <w:tcPr>
            <w:tcW w:w="431" w:type="dxa"/>
            <w:vAlign w:val="center"/>
          </w:tcPr>
          <w:p w:rsidR="00241700" w:rsidRDefault="00241700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241700" w:rsidRPr="00E70A7D" w:rsidRDefault="00241700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241700" w:rsidRDefault="00241700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241700" w:rsidRDefault="00241700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14756" w:rsidRPr="00E70A7D" w:rsidRDefault="00964EDB" w:rsidP="0085688F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39</w:t>
            </w: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proofErr w:type="spellStart"/>
            <w:r>
              <w:rPr>
                <w:rFonts w:cs="Simplified Arabic"/>
              </w:rPr>
              <w:t>Labour</w:t>
            </w:r>
            <w:proofErr w:type="spellEnd"/>
            <w:r>
              <w:rPr>
                <w:rFonts w:cs="Simplified Arabic"/>
              </w:rPr>
              <w:t xml:space="preserve"> Force</w:t>
            </w:r>
          </w:p>
        </w:tc>
        <w:tc>
          <w:tcPr>
            <w:tcW w:w="431" w:type="dxa"/>
            <w:vAlign w:val="center"/>
          </w:tcPr>
          <w:p w:rsidR="00B14756" w:rsidRDefault="00B14756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241700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241700" w:rsidRPr="00E70A7D" w:rsidRDefault="00D94F74" w:rsidP="009D44C8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53</w:t>
            </w:r>
          </w:p>
        </w:tc>
        <w:tc>
          <w:tcPr>
            <w:tcW w:w="5174" w:type="dxa"/>
            <w:vAlign w:val="center"/>
          </w:tcPr>
          <w:p w:rsidR="00241700" w:rsidRDefault="00B14756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Public Life</w:t>
            </w:r>
          </w:p>
        </w:tc>
        <w:tc>
          <w:tcPr>
            <w:tcW w:w="431" w:type="dxa"/>
            <w:vAlign w:val="center"/>
          </w:tcPr>
          <w:p w:rsidR="00241700" w:rsidRDefault="00241700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val="284"/>
          <w:jc w:val="center"/>
        </w:trPr>
        <w:tc>
          <w:tcPr>
            <w:tcW w:w="1112" w:type="dxa"/>
            <w:vAlign w:val="center"/>
          </w:tcPr>
          <w:p w:rsidR="00B14756" w:rsidRPr="00E70A7D" w:rsidRDefault="00D94F74" w:rsidP="009D44C8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61</w:t>
            </w: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pStyle w:val="Heading2"/>
              <w:tabs>
                <w:tab w:val="left" w:pos="3852"/>
                <w:tab w:val="left" w:pos="3996"/>
              </w:tabs>
              <w:snapToGrid/>
              <w:spacing w:before="100" w:beforeAutospacing="1"/>
              <w:rPr>
                <w:rFonts w:cs="Simplified Arabic"/>
              </w:rPr>
            </w:pPr>
            <w:r>
              <w:rPr>
                <w:rFonts w:cs="Simplified Arabic"/>
              </w:rPr>
              <w:t>References</w:t>
            </w:r>
          </w:p>
        </w:tc>
        <w:tc>
          <w:tcPr>
            <w:tcW w:w="431" w:type="dxa"/>
            <w:vAlign w:val="center"/>
          </w:tcPr>
          <w:p w:rsidR="00B14756" w:rsidRDefault="00B14756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  <w:tr w:rsidR="00B14756" w:rsidTr="00D94F74">
        <w:trPr>
          <w:trHeight w:hRule="exact" w:val="170"/>
          <w:jc w:val="center"/>
        </w:trPr>
        <w:tc>
          <w:tcPr>
            <w:tcW w:w="1112" w:type="dxa"/>
            <w:vAlign w:val="center"/>
          </w:tcPr>
          <w:p w:rsidR="00B14756" w:rsidRPr="00E70A7D" w:rsidRDefault="00B14756" w:rsidP="006B4BDB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5174" w:type="dxa"/>
            <w:vAlign w:val="center"/>
          </w:tcPr>
          <w:p w:rsidR="00B14756" w:rsidRDefault="00B14756" w:rsidP="006B4BDB">
            <w:pPr>
              <w:tabs>
                <w:tab w:val="left" w:pos="3996"/>
              </w:tabs>
              <w:spacing w:before="100" w:beforeAutospacing="1"/>
              <w:ind w:firstLine="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B14756" w:rsidRDefault="00B14756" w:rsidP="006B4BDB">
            <w:pPr>
              <w:spacing w:before="100" w:beforeAutospacing="1"/>
              <w:ind w:right="868"/>
              <w:jc w:val="right"/>
              <w:rPr>
                <w:sz w:val="20"/>
                <w:szCs w:val="20"/>
                <w:rtl/>
                <w:lang w:val="en-AU"/>
              </w:rPr>
            </w:pPr>
          </w:p>
        </w:tc>
      </w:tr>
    </w:tbl>
    <w:p w:rsidR="00CA3033" w:rsidRDefault="00CA3033">
      <w:pPr>
        <w:rPr>
          <w:rtl/>
          <w:lang w:val="en-AU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CA3033" w:rsidRDefault="00CA3033">
      <w:pPr>
        <w:bidi w:val="0"/>
        <w:jc w:val="center"/>
        <w:rPr>
          <w:b/>
          <w:bCs/>
          <w:color w:val="000000"/>
        </w:rPr>
      </w:pPr>
      <w:r>
        <w:rPr>
          <w:rFonts w:cs="Simplified Arabic"/>
          <w:b/>
          <w:bCs/>
        </w:rPr>
        <w:br w:type="page"/>
      </w:r>
      <w:r>
        <w:rPr>
          <w:rFonts w:cs="Simplified Arabic"/>
          <w:b/>
          <w:bCs/>
        </w:rPr>
        <w:lastRenderedPageBreak/>
        <w:t xml:space="preserve">List of </w:t>
      </w:r>
      <w:r>
        <w:rPr>
          <w:b/>
          <w:bCs/>
          <w:color w:val="000000"/>
        </w:rPr>
        <w:t>Tables</w:t>
      </w:r>
    </w:p>
    <w:p w:rsidR="00CA3033" w:rsidRDefault="00CA3033">
      <w:pPr>
        <w:bidi w:val="0"/>
        <w:jc w:val="center"/>
      </w:pPr>
    </w:p>
    <w:tbl>
      <w:tblPr>
        <w:tblW w:w="6916" w:type="dxa"/>
        <w:jc w:val="center"/>
        <w:tblInd w:w="57" w:type="dxa"/>
        <w:tblLayout w:type="fixed"/>
        <w:tblLook w:val="0000"/>
      </w:tblPr>
      <w:tblGrid>
        <w:gridCol w:w="996"/>
        <w:gridCol w:w="5042"/>
        <w:gridCol w:w="878"/>
      </w:tblGrid>
      <w:tr w:rsidR="00CA3033" w:rsidRPr="00300B97" w:rsidTr="00300B97">
        <w:trPr>
          <w:trHeight w:val="723"/>
          <w:jc w:val="center"/>
        </w:trPr>
        <w:tc>
          <w:tcPr>
            <w:tcW w:w="996" w:type="dxa"/>
          </w:tcPr>
          <w:p w:rsidR="00CA3033" w:rsidRPr="00300B97" w:rsidRDefault="00CA3033" w:rsidP="00D94F74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</w:t>
            </w:r>
          </w:p>
        </w:tc>
        <w:tc>
          <w:tcPr>
            <w:tcW w:w="5042" w:type="dxa"/>
          </w:tcPr>
          <w:p w:rsidR="00CA3033" w:rsidRPr="00300B97" w:rsidRDefault="00CA3033" w:rsidP="003F6CCE">
            <w:pPr>
              <w:bidi w:val="0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78" w:type="dxa"/>
          </w:tcPr>
          <w:p w:rsidR="00CA3033" w:rsidRPr="00300B97" w:rsidRDefault="00CA3033" w:rsidP="00D94F74">
            <w:pPr>
              <w:bidi w:val="0"/>
              <w:ind w:left="-108" w:right="-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964EDB" w:rsidRPr="00300B97" w:rsidTr="00300B97">
        <w:trPr>
          <w:trHeight w:val="271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1: </w:t>
            </w:r>
          </w:p>
        </w:tc>
        <w:tc>
          <w:tcPr>
            <w:tcW w:w="5042" w:type="dxa"/>
          </w:tcPr>
          <w:p w:rsidR="00964EDB" w:rsidRPr="0024704A" w:rsidRDefault="00D94F74" w:rsidP="00D94F74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Sex Ratio in Palestine, 2000-2016</w:t>
            </w:r>
          </w:p>
        </w:tc>
        <w:tc>
          <w:tcPr>
            <w:tcW w:w="878" w:type="dxa"/>
          </w:tcPr>
          <w:p w:rsidR="00964EDB" w:rsidRPr="00300B97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15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2:</w:t>
            </w:r>
          </w:p>
        </w:tc>
        <w:tc>
          <w:tcPr>
            <w:tcW w:w="5042" w:type="dxa"/>
          </w:tcPr>
          <w:p w:rsidR="00964EDB" w:rsidRPr="00300B97" w:rsidRDefault="003036F4" w:rsidP="004E4300">
            <w:pPr>
              <w:pStyle w:val="Heading3"/>
              <w:jc w:val="both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300B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 xml:space="preserve">Life Expectancy at Birth in State of Palestine by Region and Sex, </w:t>
            </w:r>
            <w:r w:rsidRPr="00300B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2016</w:t>
            </w:r>
            <w:r w:rsidRPr="00300B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(Average)</w:t>
            </w:r>
          </w:p>
        </w:tc>
        <w:tc>
          <w:tcPr>
            <w:tcW w:w="878" w:type="dxa"/>
          </w:tcPr>
          <w:p w:rsidR="00964EDB" w:rsidRPr="00300B97" w:rsidRDefault="003036F4" w:rsidP="003036F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18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val="en-AU" w:bidi="ar-JO"/>
              </w:rPr>
              <w:t>3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24704A" w:rsidRDefault="003036F4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Females and Males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Marital Status and Region,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2015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00B97" w:rsidRDefault="00964EDB" w:rsidP="00D94F74">
            <w:pPr>
              <w:pStyle w:val="Heading3"/>
              <w:ind w:left="57" w:right="62"/>
              <w:rPr>
                <w:rFonts w:asciiTheme="majorBidi" w:hAnsiTheme="majorBidi" w:cstheme="majorBidi"/>
                <w:color w:val="000000" w:themeColor="text1"/>
                <w:sz w:val="20"/>
                <w:rtl/>
              </w:rPr>
            </w:pPr>
            <w:r w:rsidRPr="00300B97">
              <w:rPr>
                <w:rFonts w:asciiTheme="majorBidi" w:hAnsiTheme="majorBidi" w:cstheme="majorBidi"/>
                <w:color w:val="000000" w:themeColor="text1"/>
                <w:sz w:val="20"/>
              </w:rPr>
              <w:t>20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4:</w:t>
            </w:r>
          </w:p>
        </w:tc>
        <w:tc>
          <w:tcPr>
            <w:tcW w:w="5042" w:type="dxa"/>
          </w:tcPr>
          <w:p w:rsidR="00964EDB" w:rsidRPr="0024704A" w:rsidRDefault="003036F4" w:rsidP="0059017E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Households by Sex of Household Head and</w:t>
            </w:r>
            <w:r w:rsidR="0059017E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Region</w:t>
            </w:r>
            <w:r w:rsidR="0059017E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, 2014,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2015 (Percentage Distribution)</w:t>
            </w:r>
          </w:p>
        </w:tc>
        <w:tc>
          <w:tcPr>
            <w:tcW w:w="878" w:type="dxa"/>
          </w:tcPr>
          <w:p w:rsidR="00964EDB" w:rsidRPr="00300B97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21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22347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5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3036F4" w:rsidRPr="0024704A" w:rsidRDefault="003036F4" w:rsidP="00600746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Persons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</w:t>
            </w:r>
            <w:r w:rsidR="00EB5FAC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15 Years and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Above)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Palestine by</w:t>
            </w:r>
          </w:p>
          <w:p w:rsidR="00964EDB" w:rsidRPr="0024704A" w:rsidRDefault="003036F4" w:rsidP="003036F4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Educational Attainment and Sex, 2015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        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878" w:type="dxa"/>
          </w:tcPr>
          <w:p w:rsidR="00964EDB" w:rsidRPr="00300B97" w:rsidRDefault="003036F4" w:rsidP="003036F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24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22347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6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24704A" w:rsidRDefault="003036F4" w:rsidP="003036F4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Drop-out Rates at Basic and Secondary Stage</w:t>
            </w:r>
            <w:r w:rsidR="00372D0F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Palestine,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2014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/2015</w:t>
            </w:r>
          </w:p>
        </w:tc>
        <w:tc>
          <w:tcPr>
            <w:tcW w:w="878" w:type="dxa"/>
          </w:tcPr>
          <w:p w:rsidR="00964EDB" w:rsidRPr="00300B97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 xml:space="preserve">Table 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  <w:t>7</w:t>
            </w: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:</w:t>
            </w:r>
          </w:p>
        </w:tc>
        <w:tc>
          <w:tcPr>
            <w:tcW w:w="5042" w:type="dxa"/>
          </w:tcPr>
          <w:p w:rsidR="00964EDB" w:rsidRPr="0024704A" w:rsidRDefault="003036F4" w:rsidP="003036F4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at Secondary Stage in Palestine by Specialization, 2015/2016 (Percentage Distribution)</w:t>
            </w:r>
          </w:p>
        </w:tc>
        <w:tc>
          <w:tcPr>
            <w:tcW w:w="878" w:type="dxa"/>
          </w:tcPr>
          <w:p w:rsidR="00964EDB" w:rsidRPr="00300B97" w:rsidRDefault="00CF1529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26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8:</w:t>
            </w:r>
          </w:p>
        </w:tc>
        <w:tc>
          <w:tcPr>
            <w:tcW w:w="5042" w:type="dxa"/>
          </w:tcPr>
          <w:p w:rsidR="00964EDB" w:rsidRPr="0024704A" w:rsidRDefault="003036F4" w:rsidP="00A47C25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Teachers in Governmental Schools in Palestine, by Selected Scholastic Years</w:t>
            </w:r>
          </w:p>
        </w:tc>
        <w:tc>
          <w:tcPr>
            <w:tcW w:w="878" w:type="dxa"/>
          </w:tcPr>
          <w:p w:rsidR="00964EDB" w:rsidRPr="00300B97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27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9:</w:t>
            </w:r>
          </w:p>
        </w:tc>
        <w:tc>
          <w:tcPr>
            <w:tcW w:w="5042" w:type="dxa"/>
          </w:tcPr>
          <w:p w:rsidR="00964EDB" w:rsidRPr="0024704A" w:rsidRDefault="003036F4" w:rsidP="00AB1671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Per Teacher in Palestine by Supervising Authority and Selected Scholastic Years</w:t>
            </w:r>
          </w:p>
        </w:tc>
        <w:tc>
          <w:tcPr>
            <w:tcW w:w="878" w:type="dxa"/>
          </w:tcPr>
          <w:p w:rsidR="00964EDB" w:rsidRPr="00300B97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28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10:</w:t>
            </w:r>
          </w:p>
        </w:tc>
        <w:tc>
          <w:tcPr>
            <w:tcW w:w="5042" w:type="dxa"/>
          </w:tcPr>
          <w:p w:rsidR="00964EDB" w:rsidRPr="0024704A" w:rsidRDefault="003036F4" w:rsidP="00A47C25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Students at Higher Education in Palestine for Selected Scholastic Years</w:t>
            </w:r>
          </w:p>
        </w:tc>
        <w:tc>
          <w:tcPr>
            <w:tcW w:w="878" w:type="dxa"/>
          </w:tcPr>
          <w:p w:rsidR="00964EDB" w:rsidRPr="00300B97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29</w:t>
            </w:r>
          </w:p>
        </w:tc>
      </w:tr>
      <w:tr w:rsidR="00964EDB" w:rsidRPr="00300B97" w:rsidTr="00300B97">
        <w:trPr>
          <w:trHeight w:val="277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11:</w:t>
            </w:r>
          </w:p>
        </w:tc>
        <w:tc>
          <w:tcPr>
            <w:tcW w:w="5042" w:type="dxa"/>
          </w:tcPr>
          <w:p w:rsidR="00964EDB" w:rsidRPr="0024704A" w:rsidRDefault="00CD4B3D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CD4B3D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(15 Years and Above) Employed in Informal Sector in Palestine by Sex and Region, 2015 (Percent)</w:t>
            </w:r>
          </w:p>
        </w:tc>
        <w:tc>
          <w:tcPr>
            <w:tcW w:w="878" w:type="dxa"/>
          </w:tcPr>
          <w:p w:rsidR="00964EDB" w:rsidRPr="00300B97" w:rsidRDefault="003036F4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40</w:t>
            </w:r>
          </w:p>
        </w:tc>
      </w:tr>
      <w:tr w:rsidR="00964EDB" w:rsidRPr="00300B97" w:rsidTr="00300B97">
        <w:trPr>
          <w:trHeight w:val="284"/>
          <w:jc w:val="center"/>
        </w:trPr>
        <w:tc>
          <w:tcPr>
            <w:tcW w:w="996" w:type="dxa"/>
          </w:tcPr>
          <w:p w:rsidR="00964EDB" w:rsidRPr="00300B97" w:rsidRDefault="00964EDB" w:rsidP="00D8571B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12:</w:t>
            </w:r>
          </w:p>
        </w:tc>
        <w:tc>
          <w:tcPr>
            <w:tcW w:w="5042" w:type="dxa"/>
          </w:tcPr>
          <w:p w:rsidR="00964EDB" w:rsidRPr="0024704A" w:rsidRDefault="00300B97" w:rsidP="005B3DD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</w:t>
            </w:r>
            <w:r w:rsidR="005B3DD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Between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Graduates who Hold Associate Diploma Certificate and Above Participated  in the </w:t>
            </w:r>
            <w:proofErr w:type="spellStart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in Palestine by Specialization and Sex, 2015</w:t>
            </w:r>
            <w:r w:rsidR="005B3DD3" w:rsidRPr="00300B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0"/>
                <w:lang w:eastAsia="ar-SA"/>
              </w:rPr>
              <w:t>(Average)</w:t>
            </w:r>
          </w:p>
        </w:tc>
        <w:tc>
          <w:tcPr>
            <w:tcW w:w="878" w:type="dxa"/>
          </w:tcPr>
          <w:p w:rsidR="00964EDB" w:rsidRPr="00300B97" w:rsidRDefault="00964EDB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47</w:t>
            </w:r>
          </w:p>
        </w:tc>
      </w:tr>
      <w:tr w:rsidR="00AB2CF0" w:rsidRPr="00300B97" w:rsidTr="00300B97">
        <w:trPr>
          <w:trHeight w:val="284"/>
          <w:jc w:val="center"/>
        </w:trPr>
        <w:tc>
          <w:tcPr>
            <w:tcW w:w="996" w:type="dxa"/>
          </w:tcPr>
          <w:p w:rsidR="00AB2CF0" w:rsidRPr="00300B97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13:</w:t>
            </w:r>
          </w:p>
        </w:tc>
        <w:tc>
          <w:tcPr>
            <w:tcW w:w="5042" w:type="dxa"/>
          </w:tcPr>
          <w:p w:rsidR="00AB2CF0" w:rsidRPr="0024704A" w:rsidRDefault="00AB2CF0" w:rsidP="00AB2CF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Employed Women in the Agricultural Sector from Total Employed in Agricultural Sector by Region, 2000 –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2015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(Percent)</w:t>
            </w:r>
          </w:p>
        </w:tc>
        <w:tc>
          <w:tcPr>
            <w:tcW w:w="878" w:type="dxa"/>
          </w:tcPr>
          <w:p w:rsidR="00AB2CF0" w:rsidRPr="00300B97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48</w:t>
            </w:r>
          </w:p>
        </w:tc>
      </w:tr>
      <w:tr w:rsidR="00AB2CF0" w:rsidRPr="00300B97" w:rsidTr="00300B97">
        <w:trPr>
          <w:trHeight w:val="284"/>
          <w:jc w:val="center"/>
        </w:trPr>
        <w:tc>
          <w:tcPr>
            <w:tcW w:w="996" w:type="dxa"/>
          </w:tcPr>
          <w:p w:rsidR="00AB2CF0" w:rsidRPr="00300B97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14:</w:t>
            </w:r>
          </w:p>
        </w:tc>
        <w:tc>
          <w:tcPr>
            <w:tcW w:w="5042" w:type="dxa"/>
          </w:tcPr>
          <w:p w:rsidR="00AB2CF0" w:rsidRPr="007259C7" w:rsidRDefault="007259C7" w:rsidP="007259C7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7259C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Employed Women and Men (15 Years and Above) by Sector and Region, 2015 (Percentage Distribution)</w:t>
            </w:r>
          </w:p>
        </w:tc>
        <w:tc>
          <w:tcPr>
            <w:tcW w:w="878" w:type="dxa"/>
          </w:tcPr>
          <w:p w:rsidR="00AB2CF0" w:rsidRPr="00300B97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49</w:t>
            </w:r>
          </w:p>
        </w:tc>
      </w:tr>
      <w:tr w:rsidR="00AB2CF0" w:rsidRPr="00300B97" w:rsidTr="00300B97">
        <w:trPr>
          <w:trHeight w:val="284"/>
          <w:jc w:val="center"/>
        </w:trPr>
        <w:tc>
          <w:tcPr>
            <w:tcW w:w="996" w:type="dxa"/>
          </w:tcPr>
          <w:p w:rsidR="00AB2CF0" w:rsidRPr="00300B97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15:</w:t>
            </w:r>
          </w:p>
        </w:tc>
        <w:tc>
          <w:tcPr>
            <w:tcW w:w="5042" w:type="dxa"/>
          </w:tcPr>
          <w:p w:rsidR="00AB2CF0" w:rsidRPr="0024704A" w:rsidRDefault="00AB2CF0" w:rsidP="00113FD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Employees in the Public Sector in   Palestine by Job Title, 2015</w:t>
            </w:r>
          </w:p>
        </w:tc>
        <w:tc>
          <w:tcPr>
            <w:tcW w:w="878" w:type="dxa"/>
          </w:tcPr>
          <w:p w:rsidR="00AB2CF0" w:rsidRPr="00300B97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50</w:t>
            </w:r>
          </w:p>
        </w:tc>
      </w:tr>
      <w:tr w:rsidR="00AB2CF0" w:rsidRPr="00300B97" w:rsidTr="00300B97">
        <w:trPr>
          <w:trHeight w:val="284"/>
          <w:jc w:val="center"/>
        </w:trPr>
        <w:tc>
          <w:tcPr>
            <w:tcW w:w="996" w:type="dxa"/>
          </w:tcPr>
          <w:p w:rsidR="00AB2CF0" w:rsidRPr="00300B97" w:rsidRDefault="00AB2CF0" w:rsidP="00AB2CF0">
            <w:pPr>
              <w:bidi w:val="0"/>
              <w:ind w:right="-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bidi="ar-JO"/>
              </w:rPr>
              <w:t>Table 16:</w:t>
            </w:r>
          </w:p>
        </w:tc>
        <w:tc>
          <w:tcPr>
            <w:tcW w:w="5042" w:type="dxa"/>
          </w:tcPr>
          <w:p w:rsidR="00AB2CF0" w:rsidRPr="0024704A" w:rsidRDefault="00113FD3" w:rsidP="00F33C01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Employed Women and Men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who are Affiliated to Workers/Vocational Union</w:t>
            </w:r>
            <w:r w:rsidR="00F33C01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by Region, 2015 (Percentage Distribution)</w:t>
            </w:r>
          </w:p>
        </w:tc>
        <w:tc>
          <w:tcPr>
            <w:tcW w:w="878" w:type="dxa"/>
          </w:tcPr>
          <w:p w:rsidR="00AB2CF0" w:rsidRPr="00300B97" w:rsidRDefault="00AB2CF0" w:rsidP="00D94F74">
            <w:pPr>
              <w:spacing w:before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57</w:t>
            </w:r>
          </w:p>
        </w:tc>
      </w:tr>
    </w:tbl>
    <w:p w:rsidR="00BA473D" w:rsidRPr="007F7A7C" w:rsidRDefault="00CA3033" w:rsidP="007F7A7C">
      <w:pPr>
        <w:pStyle w:val="Heading3"/>
        <w:jc w:val="both"/>
        <w:rPr>
          <w:rFonts w:cs="Times New Roman"/>
          <w:b w:val="0"/>
          <w:bCs w:val="0"/>
          <w:sz w:val="20"/>
        </w:rPr>
      </w:pPr>
      <w:r w:rsidRPr="007F7A7C">
        <w:rPr>
          <w:rFonts w:cs="Times New Roman"/>
          <w:b w:val="0"/>
          <w:bCs w:val="0"/>
          <w:sz w:val="20"/>
        </w:rPr>
        <w:br w:type="page"/>
      </w:r>
    </w:p>
    <w:p w:rsidR="00CA3033" w:rsidRDefault="00CA3033">
      <w:pPr>
        <w:bidi w:val="0"/>
        <w:jc w:val="center"/>
        <w:rPr>
          <w:rFonts w:cs="Simplified Arabic"/>
          <w:b/>
          <w:bCs/>
        </w:rPr>
      </w:pPr>
      <w:r>
        <w:rPr>
          <w:rFonts w:cs="Simplified Arabic"/>
          <w:b/>
          <w:bCs/>
        </w:rPr>
        <w:lastRenderedPageBreak/>
        <w:t xml:space="preserve">List of </w:t>
      </w:r>
      <w:r>
        <w:rPr>
          <w:b/>
          <w:bCs/>
          <w:color w:val="000000"/>
        </w:rPr>
        <w:t>Figures</w:t>
      </w:r>
    </w:p>
    <w:p w:rsidR="00CA3033" w:rsidRDefault="00CA3033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tbl>
      <w:tblPr>
        <w:tblW w:w="6949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80"/>
        <w:gridCol w:w="4977"/>
        <w:gridCol w:w="992"/>
      </w:tblGrid>
      <w:tr w:rsidR="00CA3033" w:rsidRPr="00300B97" w:rsidTr="00300B97">
        <w:trPr>
          <w:trHeight w:val="394"/>
          <w:jc w:val="center"/>
        </w:trPr>
        <w:tc>
          <w:tcPr>
            <w:tcW w:w="980" w:type="dxa"/>
          </w:tcPr>
          <w:p w:rsidR="00CA3033" w:rsidRPr="00300B97" w:rsidRDefault="00CA3033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</w:t>
            </w:r>
          </w:p>
          <w:p w:rsidR="00CA3033" w:rsidRPr="00300B97" w:rsidRDefault="00CA3033" w:rsidP="003541C9">
            <w:pPr>
              <w:bidi w:val="0"/>
              <w:ind w:right="-154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</w:p>
        </w:tc>
        <w:tc>
          <w:tcPr>
            <w:tcW w:w="4977" w:type="dxa"/>
          </w:tcPr>
          <w:p w:rsidR="00CA3033" w:rsidRPr="00300B97" w:rsidRDefault="00CA3033" w:rsidP="003F6CCE">
            <w:pPr>
              <w:bidi w:val="0"/>
              <w:jc w:val="both"/>
              <w:rPr>
                <w:color w:val="000000" w:themeColor="text1"/>
                <w:sz w:val="20"/>
                <w:szCs w:val="20"/>
                <w:rtl/>
                <w:lang w:val="en-GB"/>
              </w:rPr>
            </w:pPr>
          </w:p>
        </w:tc>
        <w:tc>
          <w:tcPr>
            <w:tcW w:w="992" w:type="dxa"/>
          </w:tcPr>
          <w:p w:rsidR="00CA3033" w:rsidRPr="00300B97" w:rsidRDefault="00CA303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CA3033" w:rsidRPr="00300B97" w:rsidTr="00300B97">
        <w:trPr>
          <w:trHeight w:hRule="exact" w:val="95"/>
          <w:jc w:val="center"/>
        </w:trPr>
        <w:tc>
          <w:tcPr>
            <w:tcW w:w="980" w:type="dxa"/>
          </w:tcPr>
          <w:p w:rsidR="00CA3033" w:rsidRPr="00300B97" w:rsidRDefault="00CA3033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</w:p>
        </w:tc>
        <w:tc>
          <w:tcPr>
            <w:tcW w:w="4977" w:type="dxa"/>
          </w:tcPr>
          <w:p w:rsidR="00CA3033" w:rsidRPr="00300B97" w:rsidRDefault="00CA3033" w:rsidP="003F6CCE">
            <w:pPr>
              <w:pStyle w:val="Heading2"/>
              <w:tabs>
                <w:tab w:val="left" w:pos="3852"/>
                <w:tab w:val="left" w:pos="3996"/>
              </w:tabs>
              <w:bidi w:val="0"/>
              <w:snapToGrid/>
              <w:spacing w:before="100" w:beforeAutospacing="1"/>
              <w:jc w:val="both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992" w:type="dxa"/>
          </w:tcPr>
          <w:p w:rsidR="00CA3033" w:rsidRPr="00300B97" w:rsidRDefault="00CA3033">
            <w:pPr>
              <w:spacing w:before="100" w:beforeAutospacing="1"/>
              <w:jc w:val="center"/>
              <w:rPr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D3DCC" w:rsidRPr="00300B97" w:rsidTr="001A0ACF">
        <w:trPr>
          <w:trHeight w:val="259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1:</w:t>
            </w:r>
          </w:p>
        </w:tc>
        <w:tc>
          <w:tcPr>
            <w:tcW w:w="4977" w:type="dxa"/>
          </w:tcPr>
          <w:p w:rsidR="007D3DCC" w:rsidRPr="0024704A" w:rsidRDefault="00E51A07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Palestine Midyear Estimates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</w:t>
            </w:r>
            <w:r w:rsidR="004E430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6</w:t>
            </w:r>
          </w:p>
        </w:tc>
        <w:tc>
          <w:tcPr>
            <w:tcW w:w="992" w:type="dxa"/>
          </w:tcPr>
          <w:p w:rsidR="007D3DCC" w:rsidRPr="00300B97" w:rsidRDefault="00964EDB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</w:p>
        </w:tc>
      </w:tr>
      <w:tr w:rsidR="007D3DCC" w:rsidRPr="00300B97" w:rsidTr="001A0ACF">
        <w:trPr>
          <w:trHeight w:val="284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2:</w:t>
            </w:r>
          </w:p>
        </w:tc>
        <w:tc>
          <w:tcPr>
            <w:tcW w:w="4977" w:type="dxa"/>
            <w:vAlign w:val="center"/>
          </w:tcPr>
          <w:p w:rsidR="007D3DCC" w:rsidRPr="0024704A" w:rsidRDefault="00E51A07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West Bank Midyear</w:t>
            </w:r>
            <w:r w:rsidR="003541C9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Estimates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</w:t>
            </w:r>
            <w:r w:rsidR="004E430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6</w:t>
            </w:r>
          </w:p>
        </w:tc>
        <w:tc>
          <w:tcPr>
            <w:tcW w:w="992" w:type="dxa"/>
          </w:tcPr>
          <w:p w:rsidR="007D3DCC" w:rsidRPr="00300B97" w:rsidRDefault="00964EDB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7D3DCC" w:rsidRPr="00300B97" w:rsidTr="001A0ACF">
        <w:trPr>
          <w:trHeight w:val="284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3:</w:t>
            </w:r>
          </w:p>
        </w:tc>
        <w:tc>
          <w:tcPr>
            <w:tcW w:w="4977" w:type="dxa"/>
          </w:tcPr>
          <w:p w:rsidR="007D3DCC" w:rsidRPr="0024704A" w:rsidRDefault="00E51A07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Population pyramid, Gaza strip Midyear Estimates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201</w:t>
            </w:r>
            <w:r w:rsidR="004E430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6</w:t>
            </w:r>
          </w:p>
        </w:tc>
        <w:tc>
          <w:tcPr>
            <w:tcW w:w="992" w:type="dxa"/>
          </w:tcPr>
          <w:p w:rsidR="007D3DCC" w:rsidRPr="00300B97" w:rsidRDefault="00964EDB" w:rsidP="001A0ACF">
            <w:pPr>
              <w:pStyle w:val="Heading3"/>
              <w:ind w:left="57" w:right="62"/>
              <w:rPr>
                <w:rFonts w:cs="Times New Roman"/>
                <w:color w:val="000000" w:themeColor="text1"/>
                <w:sz w:val="20"/>
                <w:rtl/>
              </w:rPr>
            </w:pPr>
            <w:r w:rsidRPr="00300B97">
              <w:rPr>
                <w:rFonts w:cs="Times New Roman"/>
                <w:color w:val="000000" w:themeColor="text1"/>
                <w:sz w:val="20"/>
              </w:rPr>
              <w:t>17</w:t>
            </w:r>
          </w:p>
        </w:tc>
      </w:tr>
      <w:tr w:rsidR="007D3DCC" w:rsidRPr="00300B97" w:rsidTr="001A0ACF">
        <w:trPr>
          <w:trHeight w:val="284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4:</w:t>
            </w:r>
          </w:p>
        </w:tc>
        <w:tc>
          <w:tcPr>
            <w:tcW w:w="4977" w:type="dxa"/>
          </w:tcPr>
          <w:p w:rsidR="007D3DCC" w:rsidRPr="0024704A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Average Household Size in Palestine for Selected Years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 </w:t>
            </w:r>
          </w:p>
        </w:tc>
        <w:tc>
          <w:tcPr>
            <w:tcW w:w="992" w:type="dxa"/>
          </w:tcPr>
          <w:p w:rsidR="007D3DCC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19</w:t>
            </w:r>
          </w:p>
        </w:tc>
      </w:tr>
      <w:tr w:rsidR="007D3DCC" w:rsidRPr="00300B97" w:rsidTr="001A0ACF">
        <w:trPr>
          <w:trHeight w:val="284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5:</w:t>
            </w:r>
          </w:p>
        </w:tc>
        <w:tc>
          <w:tcPr>
            <w:tcW w:w="4977" w:type="dxa"/>
            <w:vAlign w:val="center"/>
          </w:tcPr>
          <w:p w:rsidR="007D3DCC" w:rsidRPr="0024704A" w:rsidRDefault="00AB2CF0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Literacy Rates Among Women and Men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(15 Years and Above)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in Palestine, 2004-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5</w:t>
            </w:r>
          </w:p>
        </w:tc>
        <w:tc>
          <w:tcPr>
            <w:tcW w:w="992" w:type="dxa"/>
          </w:tcPr>
          <w:p w:rsidR="007D3DCC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7D3DCC" w:rsidRPr="00300B97" w:rsidTr="001A0ACF">
        <w:trPr>
          <w:trHeight w:val="284"/>
          <w:jc w:val="center"/>
        </w:trPr>
        <w:tc>
          <w:tcPr>
            <w:tcW w:w="980" w:type="dxa"/>
          </w:tcPr>
          <w:p w:rsidR="007D3DCC" w:rsidRPr="00300B97" w:rsidRDefault="007D3DCC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6:</w:t>
            </w:r>
          </w:p>
        </w:tc>
        <w:tc>
          <w:tcPr>
            <w:tcW w:w="4977" w:type="dxa"/>
            <w:vAlign w:val="center"/>
          </w:tcPr>
          <w:p w:rsidR="007D3DCC" w:rsidRPr="0024704A" w:rsidRDefault="00AB2CF0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Gross Enrollment Rates by Stage and Sex for the Scholastic Years, 2009/2010 – 2015/2016</w:t>
            </w:r>
          </w:p>
        </w:tc>
        <w:tc>
          <w:tcPr>
            <w:tcW w:w="992" w:type="dxa"/>
          </w:tcPr>
          <w:p w:rsidR="007D3DCC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25</w:t>
            </w:r>
          </w:p>
        </w:tc>
      </w:tr>
      <w:tr w:rsidR="00B705F2" w:rsidRPr="00300B97" w:rsidTr="001A0ACF">
        <w:trPr>
          <w:trHeight w:val="284"/>
          <w:jc w:val="center"/>
        </w:trPr>
        <w:tc>
          <w:tcPr>
            <w:tcW w:w="980" w:type="dxa"/>
          </w:tcPr>
          <w:p w:rsidR="00B705F2" w:rsidRPr="00300B97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7:</w:t>
            </w:r>
          </w:p>
        </w:tc>
        <w:tc>
          <w:tcPr>
            <w:tcW w:w="4977" w:type="dxa"/>
          </w:tcPr>
          <w:p w:rsidR="00B705F2" w:rsidRPr="0024704A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Continuum of Reproductive and Maternal Health in Palestine, 2014</w:t>
            </w:r>
            <w:r w:rsidR="0006459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="0006459A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(Percent)</w:t>
            </w:r>
          </w:p>
        </w:tc>
        <w:tc>
          <w:tcPr>
            <w:tcW w:w="992" w:type="dxa"/>
          </w:tcPr>
          <w:p w:rsidR="00B705F2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B705F2" w:rsidRPr="00300B97" w:rsidTr="001A0ACF">
        <w:trPr>
          <w:trHeight w:val="284"/>
          <w:jc w:val="center"/>
        </w:trPr>
        <w:tc>
          <w:tcPr>
            <w:tcW w:w="980" w:type="dxa"/>
          </w:tcPr>
          <w:p w:rsidR="00B705F2" w:rsidRPr="00300B97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8:</w:t>
            </w:r>
          </w:p>
        </w:tc>
        <w:tc>
          <w:tcPr>
            <w:tcW w:w="4977" w:type="dxa"/>
          </w:tcPr>
          <w:p w:rsidR="00B705F2" w:rsidRPr="0024704A" w:rsidRDefault="00AB2CF0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C-section Deliveries by Selected Background Characteristics, 2014 (Percent)</w:t>
            </w:r>
          </w:p>
        </w:tc>
        <w:tc>
          <w:tcPr>
            <w:tcW w:w="992" w:type="dxa"/>
          </w:tcPr>
          <w:p w:rsidR="00B705F2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32</w:t>
            </w:r>
          </w:p>
        </w:tc>
      </w:tr>
      <w:tr w:rsidR="00B705F2" w:rsidRPr="00300B97" w:rsidTr="001A0ACF">
        <w:trPr>
          <w:trHeight w:val="284"/>
          <w:jc w:val="center"/>
        </w:trPr>
        <w:tc>
          <w:tcPr>
            <w:tcW w:w="980" w:type="dxa"/>
          </w:tcPr>
          <w:p w:rsidR="00B705F2" w:rsidRPr="00300B97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9:</w:t>
            </w:r>
          </w:p>
        </w:tc>
        <w:tc>
          <w:tcPr>
            <w:tcW w:w="4977" w:type="dxa"/>
          </w:tcPr>
          <w:p w:rsidR="00B705F2" w:rsidRPr="0024704A" w:rsidRDefault="00AB2CF0" w:rsidP="00600746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Percentage of Women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20-24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Years)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Who Have Had Alive Birth Before Age 18 by Selected Background Characteristics, 2014 (Percent)</w:t>
            </w:r>
          </w:p>
        </w:tc>
        <w:tc>
          <w:tcPr>
            <w:tcW w:w="992" w:type="dxa"/>
          </w:tcPr>
          <w:p w:rsidR="00B705F2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33</w:t>
            </w:r>
          </w:p>
        </w:tc>
      </w:tr>
      <w:tr w:rsidR="00B705F2" w:rsidRPr="00300B97" w:rsidTr="001A0ACF">
        <w:trPr>
          <w:trHeight w:val="284"/>
          <w:jc w:val="center"/>
        </w:trPr>
        <w:tc>
          <w:tcPr>
            <w:tcW w:w="980" w:type="dxa"/>
          </w:tcPr>
          <w:p w:rsidR="00B705F2" w:rsidRPr="00300B97" w:rsidRDefault="00B705F2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Figure10:</w:t>
            </w:r>
          </w:p>
        </w:tc>
        <w:tc>
          <w:tcPr>
            <w:tcW w:w="4977" w:type="dxa"/>
          </w:tcPr>
          <w:p w:rsidR="00B705F2" w:rsidRPr="0024704A" w:rsidRDefault="00744163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AB2CF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Physicians by Region, 201</w:t>
            </w:r>
            <w:r w:rsidR="00AB2CF0" w:rsidRPr="0024704A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5</w:t>
            </w:r>
            <w:r w:rsidR="00AB2CF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</w:t>
            </w:r>
            <w:r w:rsidR="00AB2CF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B705F2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34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11:</w:t>
            </w:r>
          </w:p>
        </w:tc>
        <w:tc>
          <w:tcPr>
            <w:tcW w:w="4977" w:type="dxa"/>
            <w:vAlign w:val="center"/>
          </w:tcPr>
          <w:p w:rsidR="0067283F" w:rsidRPr="0024704A" w:rsidRDefault="00744163" w:rsidP="00992BEA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AB2CF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Dentists by Region, 2015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</w:t>
            </w:r>
            <w:r w:rsidR="00AB2CF0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00B97" w:rsidRDefault="00AB2CF0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35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12:</w:t>
            </w:r>
          </w:p>
        </w:tc>
        <w:tc>
          <w:tcPr>
            <w:tcW w:w="4977" w:type="dxa"/>
          </w:tcPr>
          <w:p w:rsidR="0067283F" w:rsidRPr="0024704A" w:rsidRDefault="00744163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992BEA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Nurses by Region, 2015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  </w:t>
            </w:r>
            <w:r w:rsidR="00992BEA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36</w:t>
            </w:r>
          </w:p>
        </w:tc>
      </w:tr>
      <w:tr w:rsidR="0067283F" w:rsidRPr="00300B97" w:rsidTr="001A0ACF">
        <w:trPr>
          <w:trHeight w:hRule="exact" w:val="265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13:</w:t>
            </w:r>
          </w:p>
        </w:tc>
        <w:tc>
          <w:tcPr>
            <w:tcW w:w="4977" w:type="dxa"/>
          </w:tcPr>
          <w:p w:rsidR="0067283F" w:rsidRPr="0024704A" w:rsidRDefault="00744163" w:rsidP="00992BEA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</w:t>
            </w:r>
            <w:r w:rsidR="00992BEA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Pharmacists by Region, </w:t>
            </w:r>
            <w:r w:rsidR="00992BEA" w:rsidRPr="0024704A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2015</w:t>
            </w:r>
            <w:r w:rsidR="00992BEA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37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14:</w:t>
            </w: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77" w:type="dxa"/>
          </w:tcPr>
          <w:p w:rsidR="0067283F" w:rsidRPr="0024704A" w:rsidRDefault="00992BEA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Participated in </w:t>
            </w:r>
            <w:proofErr w:type="spellStart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in Palestine, 2001- 2015 (Percent)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 w:bidi="ar-JO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15:</w:t>
            </w:r>
          </w:p>
        </w:tc>
        <w:tc>
          <w:tcPr>
            <w:tcW w:w="4977" w:type="dxa"/>
          </w:tcPr>
          <w:p w:rsidR="0067283F" w:rsidRPr="0024704A" w:rsidRDefault="00992BEA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Participated in </w:t>
            </w:r>
            <w:proofErr w:type="spellStart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by Years of Schooling in Palestine, 2015 (Percent)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16:</w:t>
            </w:r>
          </w:p>
        </w:tc>
        <w:tc>
          <w:tcPr>
            <w:tcW w:w="4977" w:type="dxa"/>
          </w:tcPr>
          <w:p w:rsidR="0067283F" w:rsidRPr="0024704A" w:rsidRDefault="00992BEA" w:rsidP="00992BEA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are Employed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(15 Years and Above)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by Economic Activit</w:t>
            </w:r>
            <w:r w:rsidR="00D66383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y in Palestine, 2015        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</w:t>
            </w:r>
            <w:r w:rsidR="00D66383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42</w:t>
            </w:r>
          </w:p>
        </w:tc>
      </w:tr>
      <w:tr w:rsidR="0067283F" w:rsidRPr="00300B97" w:rsidTr="001A0ACF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17:</w:t>
            </w: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977" w:type="dxa"/>
          </w:tcPr>
          <w:p w:rsidR="003541C9" w:rsidRPr="0024704A" w:rsidRDefault="00992BEA" w:rsidP="00992BEA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are Employed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by Occupation in Palestine, 2015</w:t>
            </w:r>
            <w:r w:rsidRPr="0024704A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3541C9" w:rsidRPr="00600746" w:rsidTr="001A0ACF">
        <w:trPr>
          <w:trHeight w:val="284"/>
          <w:jc w:val="center"/>
        </w:trPr>
        <w:tc>
          <w:tcPr>
            <w:tcW w:w="980" w:type="dxa"/>
          </w:tcPr>
          <w:p w:rsidR="003541C9" w:rsidRPr="00600746" w:rsidRDefault="003541C9" w:rsidP="00600746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</w:pPr>
            <w:r w:rsidRPr="00600746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 18:</w:t>
            </w:r>
          </w:p>
        </w:tc>
        <w:tc>
          <w:tcPr>
            <w:tcW w:w="4977" w:type="dxa"/>
          </w:tcPr>
          <w:p w:rsidR="003541C9" w:rsidRPr="0024704A" w:rsidRDefault="00992BEA" w:rsidP="00600746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rtl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Employed are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by Employment Status in Palestine, 2015</w:t>
            </w:r>
            <w:r w:rsidR="00600746" w:rsidRPr="0024704A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3541C9" w:rsidRPr="00300B97" w:rsidRDefault="00992BEA" w:rsidP="00AE3CD1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44</w:t>
            </w:r>
          </w:p>
        </w:tc>
      </w:tr>
      <w:tr w:rsidR="003541C9" w:rsidRPr="00300B97" w:rsidTr="001A0ACF">
        <w:trPr>
          <w:trHeight w:val="284"/>
          <w:jc w:val="center"/>
        </w:trPr>
        <w:tc>
          <w:tcPr>
            <w:tcW w:w="980" w:type="dxa"/>
          </w:tcPr>
          <w:p w:rsidR="003541C9" w:rsidRPr="00300B97" w:rsidRDefault="003541C9" w:rsidP="00D94F74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19:</w:t>
            </w:r>
          </w:p>
        </w:tc>
        <w:tc>
          <w:tcPr>
            <w:tcW w:w="4977" w:type="dxa"/>
          </w:tcPr>
          <w:p w:rsidR="003541C9" w:rsidRPr="0024704A" w:rsidRDefault="00992BEA" w:rsidP="00D6638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Rate for Women and Men who Participate in the </w:t>
            </w:r>
            <w:proofErr w:type="spellStart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in Palestine, 2001-2015</w:t>
            </w:r>
          </w:p>
        </w:tc>
        <w:tc>
          <w:tcPr>
            <w:tcW w:w="992" w:type="dxa"/>
          </w:tcPr>
          <w:p w:rsidR="003541C9" w:rsidRPr="00300B97" w:rsidRDefault="00992BEA" w:rsidP="001A0AC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67283F" w:rsidRPr="00300B97" w:rsidTr="00300B97">
        <w:trPr>
          <w:trHeight w:val="431"/>
          <w:jc w:val="center"/>
        </w:trPr>
        <w:tc>
          <w:tcPr>
            <w:tcW w:w="980" w:type="dxa"/>
          </w:tcPr>
          <w:p w:rsidR="0067283F" w:rsidRPr="00300B97" w:rsidRDefault="003541C9" w:rsidP="00F63735">
            <w:pPr>
              <w:bidi w:val="0"/>
              <w:ind w:left="-108" w:right="-154" w:hanging="2"/>
              <w:rPr>
                <w:b/>
                <w:bCs/>
                <w:color w:val="000000" w:themeColor="text1"/>
                <w:sz w:val="20"/>
                <w:szCs w:val="20"/>
                <w:rtl/>
                <w:lang w:bidi="ar-JO"/>
              </w:rPr>
            </w:pPr>
            <w:r>
              <w:lastRenderedPageBreak/>
              <w:br w:type="page"/>
            </w:r>
            <w:r w:rsidR="0067283F" w:rsidRPr="00300B97">
              <w:rPr>
                <w:b/>
                <w:bCs/>
                <w:color w:val="000000" w:themeColor="text1"/>
                <w:sz w:val="20"/>
                <w:szCs w:val="20"/>
                <w:lang w:bidi="ar-JO"/>
              </w:rPr>
              <w:t>Figure</w:t>
            </w:r>
          </w:p>
        </w:tc>
        <w:tc>
          <w:tcPr>
            <w:tcW w:w="4977" w:type="dxa"/>
          </w:tcPr>
          <w:p w:rsidR="0067283F" w:rsidRPr="00300B97" w:rsidRDefault="0067283F" w:rsidP="00F63735">
            <w:pPr>
              <w:bidi w:val="0"/>
              <w:jc w:val="both"/>
              <w:rPr>
                <w:color w:val="000000" w:themeColor="text1"/>
                <w:sz w:val="20"/>
                <w:szCs w:val="20"/>
                <w:rtl/>
                <w:lang w:val="en-GB"/>
              </w:rPr>
            </w:pPr>
          </w:p>
        </w:tc>
        <w:tc>
          <w:tcPr>
            <w:tcW w:w="992" w:type="dxa"/>
          </w:tcPr>
          <w:p w:rsidR="0067283F" w:rsidRPr="00300B97" w:rsidRDefault="0067283F" w:rsidP="00F63735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Page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20:</w:t>
            </w:r>
          </w:p>
        </w:tc>
        <w:tc>
          <w:tcPr>
            <w:tcW w:w="4977" w:type="dxa"/>
          </w:tcPr>
          <w:p w:rsidR="0067283F" w:rsidRPr="0024704A" w:rsidRDefault="00992BEA" w:rsidP="00D6638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Unemployment Rate for Women and Men who Participate in the </w:t>
            </w:r>
            <w:proofErr w:type="spellStart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Labour</w:t>
            </w:r>
            <w:proofErr w:type="spellEnd"/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Force </w:t>
            </w:r>
            <w:r w:rsidR="00600746"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(15 Years and Above) </w:t>
            </w:r>
            <w:r w:rsidRPr="0024704A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by Years of Schooling in Palestine, 2015</w:t>
            </w:r>
          </w:p>
        </w:tc>
        <w:tc>
          <w:tcPr>
            <w:tcW w:w="992" w:type="dxa"/>
          </w:tcPr>
          <w:p w:rsidR="0067283F" w:rsidRPr="00300B97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46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21:</w:t>
            </w:r>
          </w:p>
        </w:tc>
        <w:tc>
          <w:tcPr>
            <w:tcW w:w="4977" w:type="dxa"/>
          </w:tcPr>
          <w:p w:rsidR="0067283F" w:rsidRPr="0024704A" w:rsidRDefault="007259C7" w:rsidP="007259C7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7259C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Women and Men Employed in Civil Public Sector by Region, </w:t>
            </w:r>
            <w:r w:rsidRPr="007259C7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>2015</w:t>
            </w:r>
            <w:r w:rsidRPr="007259C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(Percentage Distribution)</w:t>
            </w:r>
          </w:p>
        </w:tc>
        <w:tc>
          <w:tcPr>
            <w:tcW w:w="992" w:type="dxa"/>
          </w:tcPr>
          <w:p w:rsidR="0067283F" w:rsidRPr="00300B97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22:</w:t>
            </w:r>
          </w:p>
        </w:tc>
        <w:tc>
          <w:tcPr>
            <w:tcW w:w="4977" w:type="dxa"/>
          </w:tcPr>
          <w:p w:rsidR="0067283F" w:rsidRPr="0024704A" w:rsidRDefault="007259C7" w:rsidP="004E4300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7259C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Ambassadors in the State of Palestine, 2015 (Percentage Distribution)</w:t>
            </w:r>
          </w:p>
        </w:tc>
        <w:tc>
          <w:tcPr>
            <w:tcW w:w="992" w:type="dxa"/>
          </w:tcPr>
          <w:p w:rsidR="0067283F" w:rsidRPr="00300B97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23:</w:t>
            </w:r>
          </w:p>
        </w:tc>
        <w:tc>
          <w:tcPr>
            <w:tcW w:w="4977" w:type="dxa"/>
          </w:tcPr>
          <w:p w:rsidR="0067283F" w:rsidRPr="0024704A" w:rsidRDefault="00022EB3" w:rsidP="003541C9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22EB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Members of Students Councils in West Bank  by Sex, 2015 (Percentage Distribution)</w:t>
            </w:r>
          </w:p>
        </w:tc>
        <w:tc>
          <w:tcPr>
            <w:tcW w:w="992" w:type="dxa"/>
          </w:tcPr>
          <w:p w:rsidR="0067283F" w:rsidRPr="00300B97" w:rsidRDefault="00992BEA" w:rsidP="003C626B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54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 w:rsidP="00DE4312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24:</w:t>
            </w:r>
          </w:p>
        </w:tc>
        <w:tc>
          <w:tcPr>
            <w:tcW w:w="4977" w:type="dxa"/>
          </w:tcPr>
          <w:p w:rsidR="00022EB3" w:rsidRPr="00022EB3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22EB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Lawyers by Region, 2015</w:t>
            </w:r>
          </w:p>
          <w:p w:rsidR="0067283F" w:rsidRPr="0024704A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22EB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1F0B3D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55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 w:rsidP="00B1699F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25:</w:t>
            </w:r>
          </w:p>
        </w:tc>
        <w:tc>
          <w:tcPr>
            <w:tcW w:w="4977" w:type="dxa"/>
          </w:tcPr>
          <w:p w:rsidR="00022EB3" w:rsidRPr="00022EB3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22EB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Judges by Region, 2015</w:t>
            </w:r>
          </w:p>
          <w:p w:rsidR="0067283F" w:rsidRPr="0024704A" w:rsidRDefault="00022EB3" w:rsidP="00022EB3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022EB3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FC5A2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56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 w:rsidP="005F12B5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26:</w:t>
            </w:r>
          </w:p>
        </w:tc>
        <w:tc>
          <w:tcPr>
            <w:tcW w:w="4977" w:type="dxa"/>
          </w:tcPr>
          <w:p w:rsidR="0067283F" w:rsidRPr="0024704A" w:rsidRDefault="00355837" w:rsidP="00355837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355837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Who are Public Prosecution Staff by Region, 2015 (Percentage Distribution)</w:t>
            </w:r>
          </w:p>
        </w:tc>
        <w:tc>
          <w:tcPr>
            <w:tcW w:w="992" w:type="dxa"/>
          </w:tcPr>
          <w:p w:rsidR="0067283F" w:rsidRPr="00300B97" w:rsidRDefault="00992BEA" w:rsidP="00FC5A2F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58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 w:rsidP="005F12B5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27:</w:t>
            </w:r>
          </w:p>
        </w:tc>
        <w:tc>
          <w:tcPr>
            <w:tcW w:w="4977" w:type="dxa"/>
          </w:tcPr>
          <w:p w:rsidR="003541C9" w:rsidRPr="0024704A" w:rsidRDefault="00126D5B" w:rsidP="00126D5B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Engineers by</w:t>
            </w:r>
            <w:r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Region, 2015 </w:t>
            </w:r>
            <w:r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     </w:t>
            </w: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992BEA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59</w:t>
            </w:r>
          </w:p>
        </w:tc>
      </w:tr>
      <w:tr w:rsidR="0067283F" w:rsidRPr="00300B97" w:rsidTr="00300B97">
        <w:trPr>
          <w:trHeight w:val="284"/>
          <w:jc w:val="center"/>
        </w:trPr>
        <w:tc>
          <w:tcPr>
            <w:tcW w:w="980" w:type="dxa"/>
          </w:tcPr>
          <w:p w:rsidR="0067283F" w:rsidRPr="00300B97" w:rsidRDefault="0067283F" w:rsidP="005F12B5">
            <w:pPr>
              <w:bidi w:val="0"/>
              <w:spacing w:before="100" w:beforeAutospacing="1"/>
              <w:ind w:left="-108" w:right="-153"/>
              <w:rPr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300B97">
              <w:rPr>
                <w:b/>
                <w:bCs/>
                <w:color w:val="000000" w:themeColor="text1"/>
                <w:sz w:val="20"/>
                <w:szCs w:val="20"/>
              </w:rPr>
              <w:t>Figure 28:</w:t>
            </w:r>
          </w:p>
        </w:tc>
        <w:tc>
          <w:tcPr>
            <w:tcW w:w="4977" w:type="dxa"/>
          </w:tcPr>
          <w:p w:rsidR="0067283F" w:rsidRPr="0024704A" w:rsidRDefault="00126D5B" w:rsidP="00126D5B">
            <w:pPr>
              <w:pStyle w:val="Heading3"/>
              <w:jc w:val="both"/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</w:pP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Women and Men Journalists and Editor in Chief</w:t>
            </w:r>
            <w:r w:rsidRPr="00126D5B" w:rsidDel="00DE3629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 </w:t>
            </w: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 xml:space="preserve">by Region, </w:t>
            </w:r>
            <w:r w:rsidRPr="00126D5B">
              <w:rPr>
                <w:rFonts w:cs="Times New Roman" w:hint="cs"/>
                <w:b w:val="0"/>
                <w:bCs w:val="0"/>
                <w:color w:val="000000" w:themeColor="text1"/>
                <w:sz w:val="20"/>
                <w:rtl/>
                <w:lang w:eastAsia="ar-SA"/>
              </w:rPr>
              <w:t xml:space="preserve"> 2015</w:t>
            </w:r>
            <w:r w:rsidRPr="00126D5B">
              <w:rPr>
                <w:rFonts w:cs="Times New Roman"/>
                <w:b w:val="0"/>
                <w:bCs w:val="0"/>
                <w:color w:val="000000" w:themeColor="text1"/>
                <w:sz w:val="20"/>
                <w:lang w:eastAsia="ar-SA"/>
              </w:rPr>
              <w:t>(Percentage Distribution)</w:t>
            </w:r>
          </w:p>
        </w:tc>
        <w:tc>
          <w:tcPr>
            <w:tcW w:w="992" w:type="dxa"/>
          </w:tcPr>
          <w:p w:rsidR="0067283F" w:rsidRPr="00300B97" w:rsidRDefault="00992BEA" w:rsidP="00992BEA">
            <w:pPr>
              <w:spacing w:before="60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300B97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60</w:t>
            </w:r>
          </w:p>
        </w:tc>
      </w:tr>
    </w:tbl>
    <w:p w:rsidR="00CA3033" w:rsidRDefault="00CA3033">
      <w:pPr>
        <w:bidi w:val="0"/>
        <w:jc w:val="center"/>
      </w:pPr>
    </w:p>
    <w:p w:rsidR="00CA3033" w:rsidRDefault="00CA3033">
      <w:pPr>
        <w:bidi w:val="0"/>
        <w:jc w:val="center"/>
      </w:pPr>
    </w:p>
    <w:p w:rsidR="00CA3033" w:rsidRDefault="00CA3033">
      <w:pPr>
        <w:bidi w:val="0"/>
        <w:ind w:right="-2"/>
        <w:jc w:val="lowKashida"/>
      </w:pPr>
    </w:p>
    <w:p w:rsidR="00CA3033" w:rsidRDefault="00CA3033">
      <w:pPr>
        <w:bidi w:val="0"/>
        <w:ind w:left="720" w:right="-2" w:hanging="421"/>
        <w:jc w:val="lowKashida"/>
      </w:pPr>
    </w:p>
    <w:p w:rsidR="00CA3033" w:rsidRPr="003F6CCE" w:rsidRDefault="00CA3033" w:rsidP="00D53F6E">
      <w:pPr>
        <w:shd w:val="clear" w:color="auto" w:fill="FFFFFF"/>
        <w:rPr>
          <w:b/>
          <w:bCs/>
          <w:color w:val="548DD4"/>
          <w:sz w:val="20"/>
          <w:szCs w:val="20"/>
        </w:rPr>
      </w:pPr>
      <w:r>
        <w:br w:type="page"/>
      </w:r>
    </w:p>
    <w:p w:rsidR="005E7B8C" w:rsidRDefault="005E7B8C" w:rsidP="005E7B8C">
      <w:pPr>
        <w:pStyle w:val="BodyText"/>
        <w:tabs>
          <w:tab w:val="right" w:pos="322"/>
        </w:tabs>
        <w:ind w:left="360"/>
        <w:jc w:val="lowKashida"/>
        <w:rPr>
          <w:rFonts w:ascii="Times New Roman" w:hAnsi="Times New Roman" w:cs="Times New Roman"/>
          <w:b w:val="0"/>
          <w:bCs w:val="0"/>
          <w:sz w:val="20"/>
        </w:rPr>
      </w:pPr>
    </w:p>
    <w:p w:rsidR="007041A3" w:rsidRPr="006B0EF9" w:rsidRDefault="007041A3" w:rsidP="007041A3">
      <w:pPr>
        <w:tabs>
          <w:tab w:val="right" w:pos="5940"/>
          <w:tab w:val="right" w:pos="6300"/>
          <w:tab w:val="right" w:pos="6480"/>
          <w:tab w:val="right" w:pos="6660"/>
        </w:tabs>
        <w:bidi w:val="0"/>
        <w:ind w:right="-131"/>
        <w:jc w:val="center"/>
        <w:rPr>
          <w:rStyle w:val="longtext1"/>
          <w:b/>
          <w:bCs/>
          <w:spacing w:val="0"/>
          <w:sz w:val="24"/>
          <w:szCs w:val="24"/>
        </w:rPr>
      </w:pPr>
      <w:r w:rsidRPr="006B0EF9">
        <w:rPr>
          <w:rStyle w:val="longtext1"/>
          <w:b/>
          <w:bCs/>
          <w:spacing w:val="0"/>
          <w:sz w:val="24"/>
          <w:szCs w:val="24"/>
        </w:rPr>
        <w:t>Introduction</w:t>
      </w:r>
    </w:p>
    <w:p w:rsidR="007041A3" w:rsidRDefault="007041A3" w:rsidP="007041A3">
      <w:pPr>
        <w:pStyle w:val="BodyText"/>
        <w:jc w:val="center"/>
        <w:rPr>
          <w:rStyle w:val="longtext1"/>
          <w:b w:val="0"/>
          <w:bCs w:val="0"/>
          <w:szCs w:val="26"/>
        </w:rPr>
      </w:pPr>
    </w:p>
    <w:p w:rsidR="007041A3" w:rsidRPr="00B01CD7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Pr="00B01CD7">
        <w:rPr>
          <w:sz w:val="20"/>
          <w:szCs w:val="20"/>
        </w:rPr>
        <w:t>Palestinian Central Bureau of Statistics (</w:t>
      </w:r>
      <w:r w:rsidRPr="006320A2">
        <w:rPr>
          <w:sz w:val="20"/>
          <w:szCs w:val="20"/>
        </w:rPr>
        <w:t>PCBS</w:t>
      </w:r>
      <w:r w:rsidRPr="00B01CD7">
        <w:rPr>
          <w:sz w:val="20"/>
          <w:szCs w:val="20"/>
        </w:rPr>
        <w:t>)</w:t>
      </w:r>
      <w:r w:rsidRPr="006320A2">
        <w:rPr>
          <w:sz w:val="20"/>
          <w:szCs w:val="20"/>
        </w:rPr>
        <w:t xml:space="preserve"> since it</w:t>
      </w:r>
      <w:r>
        <w:rPr>
          <w:sz w:val="20"/>
          <w:szCs w:val="20"/>
        </w:rPr>
        <w:t>s</w:t>
      </w:r>
      <w:r w:rsidRPr="006320A2">
        <w:rPr>
          <w:sz w:val="20"/>
          <w:szCs w:val="20"/>
        </w:rPr>
        <w:t xml:space="preserve"> establish</w:t>
      </w:r>
      <w:r>
        <w:rPr>
          <w:sz w:val="20"/>
          <w:szCs w:val="20"/>
        </w:rPr>
        <w:t>ment</w:t>
      </w:r>
      <w:r w:rsidRPr="006320A2">
        <w:rPr>
          <w:sz w:val="20"/>
          <w:szCs w:val="20"/>
        </w:rPr>
        <w:t xml:space="preserve"> </w:t>
      </w:r>
      <w:r>
        <w:rPr>
          <w:sz w:val="20"/>
          <w:szCs w:val="20"/>
        </w:rPr>
        <w:t>worked</w:t>
      </w:r>
      <w:r w:rsidRPr="006320A2">
        <w:rPr>
          <w:sz w:val="20"/>
          <w:szCs w:val="20"/>
        </w:rPr>
        <w:t xml:space="preserve"> to provide statistical data disaggregated by sex </w:t>
      </w:r>
      <w:r>
        <w:rPr>
          <w:sz w:val="20"/>
          <w:szCs w:val="20"/>
        </w:rPr>
        <w:t>to</w:t>
      </w:r>
      <w:r w:rsidRPr="006320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ensure </w:t>
      </w:r>
      <w:r w:rsidRPr="006320A2">
        <w:rPr>
          <w:sz w:val="20"/>
          <w:szCs w:val="20"/>
        </w:rPr>
        <w:t xml:space="preserve">developing </w:t>
      </w:r>
      <w:r>
        <w:rPr>
          <w:sz w:val="20"/>
          <w:szCs w:val="20"/>
        </w:rPr>
        <w:t xml:space="preserve">its statistics in abidance to </w:t>
      </w:r>
      <w:r w:rsidRPr="006320A2">
        <w:rPr>
          <w:sz w:val="20"/>
          <w:szCs w:val="20"/>
        </w:rPr>
        <w:t>the gender concept</w:t>
      </w:r>
      <w:r>
        <w:rPr>
          <w:sz w:val="20"/>
          <w:szCs w:val="20"/>
        </w:rPr>
        <w:t>,</w:t>
      </w:r>
      <w:r w:rsidRPr="006320A2">
        <w:rPr>
          <w:sz w:val="20"/>
          <w:szCs w:val="20"/>
        </w:rPr>
        <w:t xml:space="preserve"> which is based on the</w:t>
      </w:r>
      <w:r>
        <w:rPr>
          <w:sz w:val="20"/>
          <w:szCs w:val="20"/>
        </w:rPr>
        <w:t xml:space="preserve"> fact that women empowerment does not mean or </w:t>
      </w:r>
      <w:proofErr w:type="spellStart"/>
      <w:r>
        <w:rPr>
          <w:sz w:val="20"/>
          <w:szCs w:val="20"/>
        </w:rPr>
        <w:t>requiremarginalizing</w:t>
      </w:r>
      <w:proofErr w:type="spellEnd"/>
      <w:r>
        <w:rPr>
          <w:sz w:val="20"/>
          <w:szCs w:val="20"/>
        </w:rPr>
        <w:t xml:space="preserve"> men, it simply comes through the promotion of women's economic role and enabling them </w:t>
      </w:r>
      <w:proofErr w:type="spellStart"/>
      <w:r>
        <w:rPr>
          <w:sz w:val="20"/>
          <w:szCs w:val="20"/>
        </w:rPr>
        <w:t>toenter</w:t>
      </w:r>
      <w:proofErr w:type="spellEnd"/>
      <w:r>
        <w:rPr>
          <w:sz w:val="20"/>
          <w:szCs w:val="20"/>
        </w:rPr>
        <w:t xml:space="preserve"> the labor market to achieve equity in employment, wages and training. Therefore, the social, economic, and political empowerment of women are perquisites for national development.</w:t>
      </w: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>
        <w:rPr>
          <w:sz w:val="20"/>
          <w:szCs w:val="20"/>
        </w:rPr>
        <w:t>This report is the most recent  publication by PCBS which is considered a part of the series of many specialized reports on gender issues</w:t>
      </w:r>
      <w:r>
        <w:t>,</w:t>
      </w:r>
      <w:r w:rsidRPr="00351EBF">
        <w:t xml:space="preserve"> </w:t>
      </w:r>
      <w:r>
        <w:rPr>
          <w:sz w:val="20"/>
          <w:szCs w:val="20"/>
        </w:rPr>
        <w:t>that</w:t>
      </w:r>
      <w:r w:rsidRPr="00351EBF">
        <w:rPr>
          <w:sz w:val="20"/>
          <w:szCs w:val="20"/>
        </w:rPr>
        <w:t xml:space="preserve"> can </w:t>
      </w:r>
      <w:r>
        <w:rPr>
          <w:sz w:val="20"/>
          <w:szCs w:val="20"/>
        </w:rPr>
        <w:t xml:space="preserve">be accessed </w:t>
      </w:r>
      <w:r w:rsidRPr="00351EBF">
        <w:rPr>
          <w:sz w:val="20"/>
          <w:szCs w:val="20"/>
        </w:rPr>
        <w:t xml:space="preserve"> for further details through</w:t>
      </w:r>
      <w:r>
        <w:rPr>
          <w:sz w:val="20"/>
          <w:szCs w:val="20"/>
        </w:rPr>
        <w:t xml:space="preserve"> PCBS website</w:t>
      </w:r>
      <w:r w:rsidRPr="00351EBF">
        <w:rPr>
          <w:sz w:val="20"/>
          <w:szCs w:val="20"/>
        </w:rPr>
        <w:t xml:space="preserve"> or through </w:t>
      </w:r>
      <w:r>
        <w:rPr>
          <w:sz w:val="20"/>
          <w:szCs w:val="20"/>
        </w:rPr>
        <w:t xml:space="preserve">a </w:t>
      </w:r>
      <w:r w:rsidRPr="00351EBF">
        <w:rPr>
          <w:sz w:val="20"/>
          <w:szCs w:val="20"/>
        </w:rPr>
        <w:t xml:space="preserve">direct communication with </w:t>
      </w:r>
      <w:r>
        <w:rPr>
          <w:sz w:val="20"/>
          <w:szCs w:val="20"/>
        </w:rPr>
        <w:t>PCBS. It aims to shed light on the status of men and women in the Palestinian society and to provide the necessary data for policy-making pertinent to gender equity.</w:t>
      </w:r>
    </w:p>
    <w:p w:rsidR="007041A3" w:rsidRDefault="007041A3" w:rsidP="007041A3">
      <w:pPr>
        <w:autoSpaceDE w:val="0"/>
        <w:autoSpaceDN w:val="0"/>
        <w:bidi w:val="0"/>
        <w:adjustRightInd w:val="0"/>
        <w:jc w:val="lowKashida"/>
        <w:rPr>
          <w:sz w:val="20"/>
          <w:szCs w:val="20"/>
        </w:rPr>
      </w:pP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lang w:val="en-AU"/>
        </w:rPr>
      </w:pPr>
      <w:r>
        <w:rPr>
          <w:sz w:val="20"/>
          <w:szCs w:val="20"/>
        </w:rPr>
        <w:t xml:space="preserve">The report presents a selected group of key indicators on gender issues from many relevant perspectives: demographic indicators, education indicators, health, labor force indicators. </w:t>
      </w:r>
      <w:r w:rsidRPr="00351EBF">
        <w:rPr>
          <w:sz w:val="20"/>
          <w:szCs w:val="20"/>
          <w:lang w:val="en-AU"/>
        </w:rPr>
        <w:t xml:space="preserve">In addition to </w:t>
      </w:r>
      <w:r>
        <w:rPr>
          <w:sz w:val="20"/>
          <w:szCs w:val="20"/>
        </w:rPr>
        <w:t xml:space="preserve">the indicators </w:t>
      </w:r>
      <w:r w:rsidRPr="00351EBF">
        <w:rPr>
          <w:sz w:val="20"/>
          <w:szCs w:val="20"/>
          <w:lang w:val="en-AU"/>
        </w:rPr>
        <w:t xml:space="preserve">on public life, taking into account the indicators contained in the national framework of </w:t>
      </w:r>
      <w:r>
        <w:rPr>
          <w:sz w:val="20"/>
          <w:szCs w:val="20"/>
          <w:lang w:val="en-AU"/>
        </w:rPr>
        <w:t>gender</w:t>
      </w:r>
      <w:r w:rsidRPr="00351EBF">
        <w:rPr>
          <w:sz w:val="20"/>
          <w:szCs w:val="20"/>
          <w:lang w:val="en-AU"/>
        </w:rPr>
        <w:t xml:space="preserve">, which had been </w:t>
      </w:r>
      <w:r>
        <w:rPr>
          <w:sz w:val="20"/>
          <w:szCs w:val="20"/>
          <w:lang w:val="en-AU"/>
        </w:rPr>
        <w:t>prepared</w:t>
      </w:r>
      <w:r w:rsidRPr="00351EBF">
        <w:rPr>
          <w:sz w:val="20"/>
          <w:szCs w:val="20"/>
          <w:lang w:val="en-AU"/>
        </w:rPr>
        <w:t xml:space="preserve"> in partnership with </w:t>
      </w:r>
      <w:r>
        <w:rPr>
          <w:sz w:val="20"/>
          <w:szCs w:val="20"/>
          <w:lang w:val="en-AU"/>
        </w:rPr>
        <w:t>t</w:t>
      </w:r>
      <w:r w:rsidRPr="00BE1D8A">
        <w:rPr>
          <w:sz w:val="20"/>
          <w:szCs w:val="20"/>
          <w:lang w:val="en-AU"/>
        </w:rPr>
        <w:t xml:space="preserve">he </w:t>
      </w:r>
      <w:r>
        <w:rPr>
          <w:sz w:val="20"/>
          <w:szCs w:val="20"/>
          <w:lang w:val="en-AU"/>
        </w:rPr>
        <w:t xml:space="preserve">United Nations </w:t>
      </w:r>
      <w:r w:rsidRPr="00BE1D8A">
        <w:rPr>
          <w:sz w:val="20"/>
          <w:szCs w:val="20"/>
          <w:lang w:val="en-AU"/>
        </w:rPr>
        <w:t>Economic Commission for Western Asia</w:t>
      </w:r>
      <w:r w:rsidRPr="00351EBF" w:rsidDel="006D1E5B">
        <w:rPr>
          <w:sz w:val="20"/>
          <w:szCs w:val="20"/>
          <w:lang w:val="en-AU"/>
        </w:rPr>
        <w:t xml:space="preserve"> 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>(</w:t>
      </w:r>
      <w:r w:rsidRPr="00351EBF">
        <w:rPr>
          <w:sz w:val="20"/>
          <w:szCs w:val="20"/>
          <w:lang w:val="en-AU"/>
        </w:rPr>
        <w:t>ESCWA</w:t>
      </w:r>
      <w:r>
        <w:rPr>
          <w:sz w:val="20"/>
          <w:szCs w:val="20"/>
          <w:lang w:val="en-AU"/>
        </w:rPr>
        <w:t>)</w:t>
      </w:r>
      <w:r w:rsidRPr="00351EBF">
        <w:rPr>
          <w:sz w:val="20"/>
          <w:szCs w:val="20"/>
          <w:lang w:val="en-AU"/>
        </w:rPr>
        <w:t>.</w:t>
      </w: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rtl/>
          <w:lang w:val="en-AU"/>
        </w:rPr>
      </w:pP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lang w:val="en-AU"/>
        </w:rPr>
      </w:pPr>
      <w:r>
        <w:rPr>
          <w:sz w:val="20"/>
          <w:szCs w:val="20"/>
          <w:lang w:val="en-AU"/>
        </w:rPr>
        <w:t>T</w:t>
      </w:r>
      <w:r w:rsidRPr="00351EBF">
        <w:rPr>
          <w:sz w:val="20"/>
          <w:szCs w:val="20"/>
          <w:lang w:val="en-AU"/>
        </w:rPr>
        <w:t xml:space="preserve">he data in this report </w:t>
      </w:r>
      <w:r>
        <w:rPr>
          <w:sz w:val="20"/>
          <w:szCs w:val="20"/>
          <w:lang w:val="en-AU"/>
        </w:rPr>
        <w:t xml:space="preserve">depends on the </w:t>
      </w:r>
      <w:r w:rsidRPr="00351EBF">
        <w:rPr>
          <w:sz w:val="20"/>
          <w:szCs w:val="20"/>
          <w:lang w:val="en-AU"/>
        </w:rPr>
        <w:t xml:space="preserve">results of some of the surveys </w:t>
      </w:r>
      <w:r>
        <w:rPr>
          <w:sz w:val="20"/>
          <w:szCs w:val="20"/>
          <w:lang w:val="en-AU"/>
        </w:rPr>
        <w:t>that has been conducted</w:t>
      </w:r>
      <w:r w:rsidRPr="00351EBF">
        <w:rPr>
          <w:sz w:val="20"/>
          <w:szCs w:val="20"/>
          <w:lang w:val="en-AU"/>
        </w:rPr>
        <w:t xml:space="preserve"> by </w:t>
      </w:r>
      <w:r>
        <w:rPr>
          <w:sz w:val="20"/>
          <w:szCs w:val="20"/>
          <w:lang w:val="en-AU"/>
        </w:rPr>
        <w:t>PCBS,</w:t>
      </w:r>
      <w:r w:rsidRPr="00351EBF">
        <w:rPr>
          <w:sz w:val="20"/>
          <w:szCs w:val="20"/>
          <w:lang w:val="en-AU"/>
        </w:rPr>
        <w:t xml:space="preserve"> in addition to </w:t>
      </w:r>
      <w:r>
        <w:rPr>
          <w:sz w:val="20"/>
          <w:szCs w:val="20"/>
          <w:lang w:val="en-AU"/>
        </w:rPr>
        <w:t xml:space="preserve">the </w:t>
      </w:r>
      <w:r w:rsidRPr="00351EBF">
        <w:rPr>
          <w:sz w:val="20"/>
          <w:szCs w:val="20"/>
          <w:lang w:val="en-AU"/>
        </w:rPr>
        <w:t>administrative records of governmental and non-governmental institutions.</w:t>
      </w:r>
    </w:p>
    <w:p w:rsidR="007041A3" w:rsidRPr="00351EBF" w:rsidRDefault="007041A3" w:rsidP="007041A3">
      <w:pPr>
        <w:pStyle w:val="BodyText2"/>
        <w:bidi w:val="0"/>
        <w:jc w:val="lowKashida"/>
        <w:rPr>
          <w:sz w:val="20"/>
          <w:szCs w:val="20"/>
          <w:rtl/>
          <w:lang w:val="en-AU"/>
        </w:rPr>
      </w:pPr>
    </w:p>
    <w:p w:rsidR="007041A3" w:rsidRDefault="007041A3" w:rsidP="007041A3">
      <w:pPr>
        <w:pStyle w:val="BodyText2"/>
        <w:bidi w:val="0"/>
        <w:jc w:val="lowKashida"/>
        <w:rPr>
          <w:sz w:val="20"/>
          <w:szCs w:val="20"/>
        </w:rPr>
      </w:pPr>
      <w:r w:rsidRPr="00351EBF">
        <w:rPr>
          <w:sz w:val="20"/>
          <w:szCs w:val="20"/>
          <w:lang w:val="en-AU"/>
        </w:rPr>
        <w:t xml:space="preserve">We </w:t>
      </w:r>
      <w:r>
        <w:rPr>
          <w:sz w:val="20"/>
          <w:szCs w:val="20"/>
          <w:lang w:val="en-AU"/>
        </w:rPr>
        <w:t xml:space="preserve">do </w:t>
      </w:r>
      <w:r w:rsidRPr="00351EBF">
        <w:rPr>
          <w:sz w:val="20"/>
          <w:szCs w:val="20"/>
          <w:lang w:val="en-AU"/>
        </w:rPr>
        <w:t xml:space="preserve">hope that this </w:t>
      </w:r>
      <w:r>
        <w:rPr>
          <w:sz w:val="20"/>
          <w:szCs w:val="20"/>
          <w:lang w:val="en-AU"/>
        </w:rPr>
        <w:t>report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>be</w:t>
      </w:r>
      <w:r w:rsidRPr="00351EBF">
        <w:rPr>
          <w:sz w:val="20"/>
          <w:szCs w:val="20"/>
          <w:lang w:val="en-AU"/>
        </w:rPr>
        <w:t xml:space="preserve"> </w:t>
      </w:r>
      <w:r>
        <w:rPr>
          <w:sz w:val="20"/>
          <w:szCs w:val="20"/>
          <w:lang w:val="en-AU"/>
        </w:rPr>
        <w:t xml:space="preserve">an </w:t>
      </w:r>
      <w:r w:rsidRPr="00351EBF">
        <w:rPr>
          <w:sz w:val="20"/>
          <w:szCs w:val="20"/>
          <w:lang w:val="en-AU"/>
        </w:rPr>
        <w:t xml:space="preserve">additional </w:t>
      </w:r>
      <w:r>
        <w:rPr>
          <w:sz w:val="20"/>
          <w:szCs w:val="20"/>
          <w:lang w:val="en-AU"/>
        </w:rPr>
        <w:t xml:space="preserve">and useful </w:t>
      </w:r>
      <w:r w:rsidRPr="00351EBF">
        <w:rPr>
          <w:sz w:val="20"/>
          <w:szCs w:val="20"/>
          <w:lang w:val="en-AU"/>
        </w:rPr>
        <w:t xml:space="preserve">tool </w:t>
      </w:r>
      <w:r>
        <w:rPr>
          <w:sz w:val="20"/>
          <w:szCs w:val="20"/>
          <w:lang w:val="en-AU"/>
        </w:rPr>
        <w:t>for</w:t>
      </w:r>
      <w:r w:rsidRPr="00351EBF">
        <w:rPr>
          <w:sz w:val="20"/>
          <w:szCs w:val="20"/>
          <w:lang w:val="en-AU"/>
        </w:rPr>
        <w:t xml:space="preserve"> the policy and decision makers </w:t>
      </w:r>
      <w:r>
        <w:rPr>
          <w:sz w:val="20"/>
          <w:szCs w:val="20"/>
          <w:lang w:val="en-AU"/>
        </w:rPr>
        <w:t>in</w:t>
      </w:r>
      <w:r w:rsidRPr="00351EBF">
        <w:rPr>
          <w:sz w:val="20"/>
          <w:szCs w:val="20"/>
          <w:lang w:val="en-AU"/>
        </w:rPr>
        <w:t xml:space="preserve"> the area of women empowerment and </w:t>
      </w:r>
      <w:r>
        <w:rPr>
          <w:sz w:val="20"/>
          <w:szCs w:val="20"/>
          <w:lang w:val="en-AU"/>
        </w:rPr>
        <w:t xml:space="preserve">gender </w:t>
      </w:r>
      <w:r w:rsidRPr="00351EBF">
        <w:rPr>
          <w:sz w:val="20"/>
          <w:szCs w:val="20"/>
          <w:lang w:val="en-AU"/>
        </w:rPr>
        <w:t>equality.</w:t>
      </w:r>
    </w:p>
    <w:p w:rsidR="00B01CD7" w:rsidRPr="007041A3" w:rsidRDefault="00B01CD7" w:rsidP="00B01CD7">
      <w:pPr>
        <w:pStyle w:val="BodyText2"/>
        <w:bidi w:val="0"/>
        <w:jc w:val="center"/>
        <w:rPr>
          <w:sz w:val="20"/>
          <w:szCs w:val="20"/>
        </w:rPr>
      </w:pPr>
    </w:p>
    <w:p w:rsidR="00743661" w:rsidRDefault="00743661" w:rsidP="00743661">
      <w:pPr>
        <w:pStyle w:val="BodyText2"/>
        <w:bidi w:val="0"/>
        <w:jc w:val="lowKashida"/>
        <w:rPr>
          <w:sz w:val="20"/>
          <w:szCs w:val="20"/>
          <w:lang w:val="en-AU"/>
        </w:rPr>
      </w:pPr>
    </w:p>
    <w:tbl>
      <w:tblPr>
        <w:tblW w:w="6878" w:type="dxa"/>
        <w:tblInd w:w="250" w:type="dxa"/>
        <w:tblLook w:val="0000"/>
      </w:tblPr>
      <w:tblGrid>
        <w:gridCol w:w="3278"/>
        <w:gridCol w:w="3600"/>
      </w:tblGrid>
      <w:tr w:rsidR="00743661" w:rsidTr="00743661">
        <w:trPr>
          <w:trHeight w:val="366"/>
        </w:trPr>
        <w:tc>
          <w:tcPr>
            <w:tcW w:w="3278" w:type="dxa"/>
            <w:vMerge w:val="restart"/>
            <w:vAlign w:val="center"/>
          </w:tcPr>
          <w:p w:rsidR="00743661" w:rsidRDefault="00743661" w:rsidP="00743661">
            <w:pPr>
              <w:ind w:right="290"/>
              <w:rPr>
                <w:sz w:val="20"/>
                <w:szCs w:val="20"/>
                <w:rtl/>
                <w:lang w:val="en-AU"/>
              </w:rPr>
            </w:pPr>
          </w:p>
        </w:tc>
        <w:tc>
          <w:tcPr>
            <w:tcW w:w="3600" w:type="dxa"/>
            <w:vAlign w:val="center"/>
          </w:tcPr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</w:p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43661">
              <w:rPr>
                <w:b/>
                <w:bCs/>
                <w:sz w:val="20"/>
                <w:szCs w:val="20"/>
              </w:rPr>
              <w:t>Ola Awad</w:t>
            </w:r>
          </w:p>
        </w:tc>
      </w:tr>
      <w:tr w:rsidR="00743661" w:rsidTr="00743661">
        <w:trPr>
          <w:trHeight w:val="315"/>
        </w:trPr>
        <w:tc>
          <w:tcPr>
            <w:tcW w:w="3278" w:type="dxa"/>
            <w:vMerge/>
            <w:vAlign w:val="center"/>
          </w:tcPr>
          <w:p w:rsidR="00743661" w:rsidRDefault="00743661" w:rsidP="00743661">
            <w:pPr>
              <w:ind w:right="290"/>
              <w:rPr>
                <w:sz w:val="20"/>
                <w:szCs w:val="20"/>
              </w:rPr>
            </w:pPr>
          </w:p>
        </w:tc>
        <w:tc>
          <w:tcPr>
            <w:tcW w:w="3600" w:type="dxa"/>
            <w:vAlign w:val="center"/>
          </w:tcPr>
          <w:p w:rsidR="00743661" w:rsidRPr="00743661" w:rsidRDefault="00743661" w:rsidP="00743661">
            <w:pPr>
              <w:ind w:left="412"/>
              <w:jc w:val="center"/>
              <w:rPr>
                <w:b/>
                <w:bCs/>
                <w:sz w:val="20"/>
                <w:szCs w:val="20"/>
              </w:rPr>
            </w:pPr>
            <w:r w:rsidRPr="00743661">
              <w:rPr>
                <w:b/>
                <w:bCs/>
                <w:sz w:val="20"/>
                <w:szCs w:val="20"/>
              </w:rPr>
              <w:t>President of PCBS</w:t>
            </w:r>
          </w:p>
        </w:tc>
      </w:tr>
    </w:tbl>
    <w:p w:rsidR="00CA3033" w:rsidRDefault="00CA3033">
      <w:pPr>
        <w:pStyle w:val="Heading1"/>
        <w:jc w:val="left"/>
        <w:rPr>
          <w:rtl/>
          <w:lang w:val="en-AU"/>
        </w:rPr>
      </w:pPr>
    </w:p>
    <w:sectPr w:rsidR="00CA3033" w:rsidSect="007A6C50">
      <w:footerReference w:type="default" r:id="rId12"/>
      <w:pgSz w:w="8392" w:h="11907" w:code="11"/>
      <w:pgMar w:top="851" w:right="1134" w:bottom="851" w:left="1134" w:header="567" w:footer="567" w:gutter="0"/>
      <w:pgNumType w:start="19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3D7" w:rsidRDefault="00DA23D7">
      <w:r>
        <w:separator/>
      </w:r>
    </w:p>
  </w:endnote>
  <w:endnote w:type="continuationSeparator" w:id="0">
    <w:p w:rsidR="00DA23D7" w:rsidRDefault="00DA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3D7" w:rsidRDefault="00DA23D7">
    <w:pPr>
      <w:pStyle w:val="Footer"/>
      <w:jc w:val="center"/>
      <w:rPr>
        <w:rtl/>
      </w:rPr>
    </w:pPr>
    <w: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3D7" w:rsidRDefault="00DA23D7">
      <w:r>
        <w:separator/>
      </w:r>
    </w:p>
  </w:footnote>
  <w:footnote w:type="continuationSeparator" w:id="0">
    <w:p w:rsidR="00DA23D7" w:rsidRDefault="00DA2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7D3653F1"/>
    <w:multiLevelType w:val="hybridMultilevel"/>
    <w:tmpl w:val="4D6EEFA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hideSpellingErrors/>
  <w:hideGrammaticalErrors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73D"/>
    <w:rsid w:val="00001AD0"/>
    <w:rsid w:val="00006CD6"/>
    <w:rsid w:val="00022EB3"/>
    <w:rsid w:val="00033DB4"/>
    <w:rsid w:val="000434DC"/>
    <w:rsid w:val="00045C84"/>
    <w:rsid w:val="00047C4A"/>
    <w:rsid w:val="00056CD2"/>
    <w:rsid w:val="0006459A"/>
    <w:rsid w:val="000655C6"/>
    <w:rsid w:val="0007172C"/>
    <w:rsid w:val="00081C63"/>
    <w:rsid w:val="000B6B65"/>
    <w:rsid w:val="000C3837"/>
    <w:rsid w:val="000C74E3"/>
    <w:rsid w:val="000D315E"/>
    <w:rsid w:val="000D33F4"/>
    <w:rsid w:val="000D6D4D"/>
    <w:rsid w:val="000E41B6"/>
    <w:rsid w:val="000E49EF"/>
    <w:rsid w:val="000F6F9D"/>
    <w:rsid w:val="000F7442"/>
    <w:rsid w:val="001005A5"/>
    <w:rsid w:val="00106B97"/>
    <w:rsid w:val="0011130F"/>
    <w:rsid w:val="00113EC6"/>
    <w:rsid w:val="00113FD3"/>
    <w:rsid w:val="00126D5B"/>
    <w:rsid w:val="0014182F"/>
    <w:rsid w:val="0015044C"/>
    <w:rsid w:val="00152366"/>
    <w:rsid w:val="001639B1"/>
    <w:rsid w:val="001657F7"/>
    <w:rsid w:val="001705B7"/>
    <w:rsid w:val="00191421"/>
    <w:rsid w:val="00193CE2"/>
    <w:rsid w:val="00194960"/>
    <w:rsid w:val="001A0ACF"/>
    <w:rsid w:val="001C29EF"/>
    <w:rsid w:val="001D1DC7"/>
    <w:rsid w:val="001D4393"/>
    <w:rsid w:val="001E3911"/>
    <w:rsid w:val="001E474A"/>
    <w:rsid w:val="001F0B3D"/>
    <w:rsid w:val="001F76B8"/>
    <w:rsid w:val="002053C0"/>
    <w:rsid w:val="00213BE8"/>
    <w:rsid w:val="00216079"/>
    <w:rsid w:val="00233A81"/>
    <w:rsid w:val="00234427"/>
    <w:rsid w:val="00236EE1"/>
    <w:rsid w:val="00241700"/>
    <w:rsid w:val="00245738"/>
    <w:rsid w:val="00245B64"/>
    <w:rsid w:val="0024704A"/>
    <w:rsid w:val="00251B7C"/>
    <w:rsid w:val="0025293C"/>
    <w:rsid w:val="00257699"/>
    <w:rsid w:val="00264D40"/>
    <w:rsid w:val="00284D76"/>
    <w:rsid w:val="002A5034"/>
    <w:rsid w:val="002C26A8"/>
    <w:rsid w:val="002D1390"/>
    <w:rsid w:val="002D72C2"/>
    <w:rsid w:val="002E0F38"/>
    <w:rsid w:val="002E1EAA"/>
    <w:rsid w:val="002E492D"/>
    <w:rsid w:val="002F1C03"/>
    <w:rsid w:val="00300B97"/>
    <w:rsid w:val="00300D35"/>
    <w:rsid w:val="003036F4"/>
    <w:rsid w:val="00307E91"/>
    <w:rsid w:val="0031273F"/>
    <w:rsid w:val="00316B66"/>
    <w:rsid w:val="00320911"/>
    <w:rsid w:val="003329C4"/>
    <w:rsid w:val="00340F83"/>
    <w:rsid w:val="003476E9"/>
    <w:rsid w:val="00351EBF"/>
    <w:rsid w:val="003541C9"/>
    <w:rsid w:val="00355837"/>
    <w:rsid w:val="003560AC"/>
    <w:rsid w:val="003571EC"/>
    <w:rsid w:val="00372D0F"/>
    <w:rsid w:val="003A2EE0"/>
    <w:rsid w:val="003B2392"/>
    <w:rsid w:val="003C329A"/>
    <w:rsid w:val="003C444D"/>
    <w:rsid w:val="003C5BFB"/>
    <w:rsid w:val="003C626B"/>
    <w:rsid w:val="003C6A42"/>
    <w:rsid w:val="003D3A15"/>
    <w:rsid w:val="003D569D"/>
    <w:rsid w:val="003E6C5F"/>
    <w:rsid w:val="003E7361"/>
    <w:rsid w:val="003F5904"/>
    <w:rsid w:val="003F59AF"/>
    <w:rsid w:val="003F671A"/>
    <w:rsid w:val="003F6CCE"/>
    <w:rsid w:val="00402225"/>
    <w:rsid w:val="0040232D"/>
    <w:rsid w:val="00402869"/>
    <w:rsid w:val="004136A6"/>
    <w:rsid w:val="00443A12"/>
    <w:rsid w:val="00483495"/>
    <w:rsid w:val="0048657D"/>
    <w:rsid w:val="00497CCF"/>
    <w:rsid w:val="004B257D"/>
    <w:rsid w:val="004C4560"/>
    <w:rsid w:val="004D73FC"/>
    <w:rsid w:val="004E2B58"/>
    <w:rsid w:val="004E2F4C"/>
    <w:rsid w:val="004E4300"/>
    <w:rsid w:val="004E579D"/>
    <w:rsid w:val="004F160E"/>
    <w:rsid w:val="00507A39"/>
    <w:rsid w:val="005163F6"/>
    <w:rsid w:val="005221FD"/>
    <w:rsid w:val="0052336A"/>
    <w:rsid w:val="005501AA"/>
    <w:rsid w:val="0055030B"/>
    <w:rsid w:val="005512E3"/>
    <w:rsid w:val="00563492"/>
    <w:rsid w:val="00567C7C"/>
    <w:rsid w:val="00571167"/>
    <w:rsid w:val="00575908"/>
    <w:rsid w:val="005776B0"/>
    <w:rsid w:val="00581B59"/>
    <w:rsid w:val="00583992"/>
    <w:rsid w:val="00586606"/>
    <w:rsid w:val="0059017E"/>
    <w:rsid w:val="005A2997"/>
    <w:rsid w:val="005A51C1"/>
    <w:rsid w:val="005B3DD3"/>
    <w:rsid w:val="005B705F"/>
    <w:rsid w:val="005C20EC"/>
    <w:rsid w:val="005D08EF"/>
    <w:rsid w:val="005D576F"/>
    <w:rsid w:val="005E17A9"/>
    <w:rsid w:val="005E4FAD"/>
    <w:rsid w:val="005E5EDC"/>
    <w:rsid w:val="005E7B8C"/>
    <w:rsid w:val="005F12B5"/>
    <w:rsid w:val="006001C3"/>
    <w:rsid w:val="00600746"/>
    <w:rsid w:val="00605179"/>
    <w:rsid w:val="00621B75"/>
    <w:rsid w:val="00625A69"/>
    <w:rsid w:val="006317BD"/>
    <w:rsid w:val="006320A2"/>
    <w:rsid w:val="006337F6"/>
    <w:rsid w:val="00634881"/>
    <w:rsid w:val="00644912"/>
    <w:rsid w:val="006525C9"/>
    <w:rsid w:val="00652E58"/>
    <w:rsid w:val="00653F9F"/>
    <w:rsid w:val="00654D1E"/>
    <w:rsid w:val="0065545E"/>
    <w:rsid w:val="0067283F"/>
    <w:rsid w:val="00674764"/>
    <w:rsid w:val="00686788"/>
    <w:rsid w:val="00686847"/>
    <w:rsid w:val="006A41C3"/>
    <w:rsid w:val="006B0030"/>
    <w:rsid w:val="006B0EF9"/>
    <w:rsid w:val="006B4BDB"/>
    <w:rsid w:val="006D55A9"/>
    <w:rsid w:val="006E0F3F"/>
    <w:rsid w:val="006F573F"/>
    <w:rsid w:val="006F66B0"/>
    <w:rsid w:val="00703497"/>
    <w:rsid w:val="007041A3"/>
    <w:rsid w:val="00704BB6"/>
    <w:rsid w:val="00711253"/>
    <w:rsid w:val="007129FF"/>
    <w:rsid w:val="007169F5"/>
    <w:rsid w:val="00721474"/>
    <w:rsid w:val="0072492B"/>
    <w:rsid w:val="007259C7"/>
    <w:rsid w:val="00736B4E"/>
    <w:rsid w:val="00742BE4"/>
    <w:rsid w:val="00743661"/>
    <w:rsid w:val="00743D02"/>
    <w:rsid w:val="00744163"/>
    <w:rsid w:val="00797028"/>
    <w:rsid w:val="007A4604"/>
    <w:rsid w:val="007A66A9"/>
    <w:rsid w:val="007A6C50"/>
    <w:rsid w:val="007C1AC2"/>
    <w:rsid w:val="007C259B"/>
    <w:rsid w:val="007D1A0C"/>
    <w:rsid w:val="007D27B7"/>
    <w:rsid w:val="007D3DCC"/>
    <w:rsid w:val="007D48DE"/>
    <w:rsid w:val="007D675A"/>
    <w:rsid w:val="007E1AAA"/>
    <w:rsid w:val="007E3485"/>
    <w:rsid w:val="007E4CB7"/>
    <w:rsid w:val="007E5DC2"/>
    <w:rsid w:val="007F43BE"/>
    <w:rsid w:val="007F7A7C"/>
    <w:rsid w:val="00804BE1"/>
    <w:rsid w:val="00812A49"/>
    <w:rsid w:val="008219B9"/>
    <w:rsid w:val="00826071"/>
    <w:rsid w:val="00832594"/>
    <w:rsid w:val="008349D3"/>
    <w:rsid w:val="00843A87"/>
    <w:rsid w:val="00846975"/>
    <w:rsid w:val="00851F36"/>
    <w:rsid w:val="00853B23"/>
    <w:rsid w:val="0085688F"/>
    <w:rsid w:val="00863317"/>
    <w:rsid w:val="00872068"/>
    <w:rsid w:val="00880D3C"/>
    <w:rsid w:val="0088322F"/>
    <w:rsid w:val="0089044E"/>
    <w:rsid w:val="008974FF"/>
    <w:rsid w:val="008A2807"/>
    <w:rsid w:val="008A2A8E"/>
    <w:rsid w:val="008C13CE"/>
    <w:rsid w:val="008D0105"/>
    <w:rsid w:val="008E59E6"/>
    <w:rsid w:val="008E7041"/>
    <w:rsid w:val="00903A9E"/>
    <w:rsid w:val="00905221"/>
    <w:rsid w:val="00916D4C"/>
    <w:rsid w:val="00931CDD"/>
    <w:rsid w:val="00932724"/>
    <w:rsid w:val="00941E05"/>
    <w:rsid w:val="009601B9"/>
    <w:rsid w:val="00964EDB"/>
    <w:rsid w:val="009676D6"/>
    <w:rsid w:val="00984606"/>
    <w:rsid w:val="00985EDE"/>
    <w:rsid w:val="00992BEA"/>
    <w:rsid w:val="00994E9B"/>
    <w:rsid w:val="009962CA"/>
    <w:rsid w:val="009A7C1D"/>
    <w:rsid w:val="009B1759"/>
    <w:rsid w:val="009C001C"/>
    <w:rsid w:val="009C60A6"/>
    <w:rsid w:val="009D44C8"/>
    <w:rsid w:val="009D7EF2"/>
    <w:rsid w:val="009E0C21"/>
    <w:rsid w:val="009E10DF"/>
    <w:rsid w:val="009E42B3"/>
    <w:rsid w:val="009E6625"/>
    <w:rsid w:val="00A14CE3"/>
    <w:rsid w:val="00A20205"/>
    <w:rsid w:val="00A44119"/>
    <w:rsid w:val="00A47C25"/>
    <w:rsid w:val="00A86BA2"/>
    <w:rsid w:val="00AA498F"/>
    <w:rsid w:val="00AA5946"/>
    <w:rsid w:val="00AB1671"/>
    <w:rsid w:val="00AB2CF0"/>
    <w:rsid w:val="00AD2D06"/>
    <w:rsid w:val="00AD3B1C"/>
    <w:rsid w:val="00AE3CD1"/>
    <w:rsid w:val="00B01CD7"/>
    <w:rsid w:val="00B03AE8"/>
    <w:rsid w:val="00B14756"/>
    <w:rsid w:val="00B1699F"/>
    <w:rsid w:val="00B25E15"/>
    <w:rsid w:val="00B277AB"/>
    <w:rsid w:val="00B27FA3"/>
    <w:rsid w:val="00B31B0B"/>
    <w:rsid w:val="00B37881"/>
    <w:rsid w:val="00B41A3B"/>
    <w:rsid w:val="00B705F2"/>
    <w:rsid w:val="00B74C32"/>
    <w:rsid w:val="00B7551A"/>
    <w:rsid w:val="00B77E39"/>
    <w:rsid w:val="00B81034"/>
    <w:rsid w:val="00B85D62"/>
    <w:rsid w:val="00B90941"/>
    <w:rsid w:val="00B954E7"/>
    <w:rsid w:val="00BA35CB"/>
    <w:rsid w:val="00BA473D"/>
    <w:rsid w:val="00BB0872"/>
    <w:rsid w:val="00BB1616"/>
    <w:rsid w:val="00BB4DF1"/>
    <w:rsid w:val="00BD0A56"/>
    <w:rsid w:val="00BD217D"/>
    <w:rsid w:val="00BD2533"/>
    <w:rsid w:val="00BD5649"/>
    <w:rsid w:val="00BE2005"/>
    <w:rsid w:val="00BF2AE2"/>
    <w:rsid w:val="00BF49FC"/>
    <w:rsid w:val="00BF6A23"/>
    <w:rsid w:val="00C044D2"/>
    <w:rsid w:val="00C26846"/>
    <w:rsid w:val="00C35165"/>
    <w:rsid w:val="00C53F7A"/>
    <w:rsid w:val="00C54283"/>
    <w:rsid w:val="00C578F3"/>
    <w:rsid w:val="00C9102A"/>
    <w:rsid w:val="00C97BA3"/>
    <w:rsid w:val="00CA1B4C"/>
    <w:rsid w:val="00CA2DAF"/>
    <w:rsid w:val="00CA3033"/>
    <w:rsid w:val="00CC0B56"/>
    <w:rsid w:val="00CC1A9D"/>
    <w:rsid w:val="00CC320C"/>
    <w:rsid w:val="00CD1A8C"/>
    <w:rsid w:val="00CD4B3D"/>
    <w:rsid w:val="00CF1529"/>
    <w:rsid w:val="00D135C4"/>
    <w:rsid w:val="00D21708"/>
    <w:rsid w:val="00D22347"/>
    <w:rsid w:val="00D2654E"/>
    <w:rsid w:val="00D31ACD"/>
    <w:rsid w:val="00D33D33"/>
    <w:rsid w:val="00D40C76"/>
    <w:rsid w:val="00D43D8C"/>
    <w:rsid w:val="00D44643"/>
    <w:rsid w:val="00D53F6E"/>
    <w:rsid w:val="00D66383"/>
    <w:rsid w:val="00D6796D"/>
    <w:rsid w:val="00D67D32"/>
    <w:rsid w:val="00D67DE5"/>
    <w:rsid w:val="00D70537"/>
    <w:rsid w:val="00D821B4"/>
    <w:rsid w:val="00D8571B"/>
    <w:rsid w:val="00D86024"/>
    <w:rsid w:val="00D94F74"/>
    <w:rsid w:val="00DA23D7"/>
    <w:rsid w:val="00DA550E"/>
    <w:rsid w:val="00DC6855"/>
    <w:rsid w:val="00DD3E6B"/>
    <w:rsid w:val="00DD7329"/>
    <w:rsid w:val="00DE3718"/>
    <w:rsid w:val="00DE4312"/>
    <w:rsid w:val="00DE44C4"/>
    <w:rsid w:val="00DE57C2"/>
    <w:rsid w:val="00DE63A7"/>
    <w:rsid w:val="00E00B7B"/>
    <w:rsid w:val="00E03E4F"/>
    <w:rsid w:val="00E05CDA"/>
    <w:rsid w:val="00E13F21"/>
    <w:rsid w:val="00E14914"/>
    <w:rsid w:val="00E1549F"/>
    <w:rsid w:val="00E16394"/>
    <w:rsid w:val="00E305B0"/>
    <w:rsid w:val="00E33987"/>
    <w:rsid w:val="00E430F1"/>
    <w:rsid w:val="00E4345E"/>
    <w:rsid w:val="00E51A07"/>
    <w:rsid w:val="00E53022"/>
    <w:rsid w:val="00E60FC5"/>
    <w:rsid w:val="00E620E9"/>
    <w:rsid w:val="00E70A7D"/>
    <w:rsid w:val="00E75D13"/>
    <w:rsid w:val="00E82F50"/>
    <w:rsid w:val="00E85E52"/>
    <w:rsid w:val="00E8718B"/>
    <w:rsid w:val="00E94AC0"/>
    <w:rsid w:val="00E95843"/>
    <w:rsid w:val="00EA07CC"/>
    <w:rsid w:val="00EA4E3D"/>
    <w:rsid w:val="00EA736E"/>
    <w:rsid w:val="00EB0B5A"/>
    <w:rsid w:val="00EB5FAC"/>
    <w:rsid w:val="00EE2552"/>
    <w:rsid w:val="00EE536D"/>
    <w:rsid w:val="00EE6DB8"/>
    <w:rsid w:val="00F00AF0"/>
    <w:rsid w:val="00F013B7"/>
    <w:rsid w:val="00F05A14"/>
    <w:rsid w:val="00F13397"/>
    <w:rsid w:val="00F23838"/>
    <w:rsid w:val="00F301F4"/>
    <w:rsid w:val="00F338A4"/>
    <w:rsid w:val="00F33C01"/>
    <w:rsid w:val="00F347EF"/>
    <w:rsid w:val="00F52351"/>
    <w:rsid w:val="00F63735"/>
    <w:rsid w:val="00F649BC"/>
    <w:rsid w:val="00F64E5C"/>
    <w:rsid w:val="00F80C67"/>
    <w:rsid w:val="00F84123"/>
    <w:rsid w:val="00F85C90"/>
    <w:rsid w:val="00F86FD0"/>
    <w:rsid w:val="00FA6DF0"/>
    <w:rsid w:val="00FB1B05"/>
    <w:rsid w:val="00FB5F25"/>
    <w:rsid w:val="00FC5A2F"/>
    <w:rsid w:val="00FD136A"/>
    <w:rsid w:val="00FD1F9E"/>
    <w:rsid w:val="00FE1CCA"/>
    <w:rsid w:val="00FE7BE1"/>
    <w:rsid w:val="00FF2726"/>
    <w:rsid w:val="00FF2C1C"/>
    <w:rsid w:val="00FF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421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91421"/>
    <w:pPr>
      <w:keepNext/>
      <w:bidi w:val="0"/>
      <w:jc w:val="lowKashida"/>
      <w:outlineLvl w:val="0"/>
    </w:pPr>
    <w:rPr>
      <w:rFonts w:cs="Traditional Arabic"/>
      <w:szCs w:val="20"/>
      <w:lang w:eastAsia="en-US"/>
    </w:rPr>
  </w:style>
  <w:style w:type="paragraph" w:styleId="Heading2">
    <w:name w:val="heading 2"/>
    <w:basedOn w:val="Normal"/>
    <w:next w:val="Normal"/>
    <w:qFormat/>
    <w:rsid w:val="00191421"/>
    <w:pPr>
      <w:keepNext/>
      <w:snapToGrid w:val="0"/>
      <w:jc w:val="right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191421"/>
    <w:pPr>
      <w:keepNext/>
      <w:bidi w:val="0"/>
      <w:jc w:val="center"/>
      <w:outlineLvl w:val="2"/>
    </w:pPr>
    <w:rPr>
      <w:rFonts w:cs="Traditional Arabic"/>
      <w:b/>
      <w:bCs/>
      <w:sz w:val="28"/>
      <w:szCs w:val="20"/>
      <w:lang w:eastAsia="en-US"/>
    </w:rPr>
  </w:style>
  <w:style w:type="paragraph" w:styleId="Heading4">
    <w:name w:val="heading 4"/>
    <w:basedOn w:val="Normal"/>
    <w:next w:val="Normal"/>
    <w:qFormat/>
    <w:rsid w:val="00191421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1421"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91421"/>
    <w:pPr>
      <w:keepNext/>
      <w:ind w:firstLine="139"/>
      <w:outlineLvl w:val="5"/>
    </w:pPr>
    <w:rPr>
      <w:rFonts w:cs="Simplified Arabic"/>
      <w:lang w:eastAsia="en-US"/>
    </w:rPr>
  </w:style>
  <w:style w:type="paragraph" w:styleId="Heading7">
    <w:name w:val="heading 7"/>
    <w:basedOn w:val="Normal"/>
    <w:next w:val="Normal"/>
    <w:qFormat/>
    <w:rsid w:val="00191421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91421"/>
    <w:pPr>
      <w:keepNext/>
      <w:spacing w:before="100" w:beforeAutospacing="1"/>
      <w:ind w:firstLine="1"/>
      <w:jc w:val="right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191421"/>
    <w:pPr>
      <w:keepNext/>
      <w:bidi w:val="0"/>
      <w:ind w:left="583" w:right="185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191421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styleId="BodyText">
    <w:name w:val="Body Text"/>
    <w:basedOn w:val="Normal"/>
    <w:semiHidden/>
    <w:rsid w:val="00191421"/>
    <w:pPr>
      <w:bidi w:val="0"/>
    </w:pPr>
    <w:rPr>
      <w:rFonts w:ascii="Bookman Old Style" w:hAnsi="Bookman Old Style" w:cs="Traditional Arabic"/>
      <w:b/>
      <w:bCs/>
      <w:sz w:val="26"/>
      <w:szCs w:val="20"/>
      <w:lang w:eastAsia="en-US"/>
    </w:rPr>
  </w:style>
  <w:style w:type="character" w:styleId="Hyperlink">
    <w:name w:val="Hyperlink"/>
    <w:basedOn w:val="DefaultParagraphFont"/>
    <w:semiHidden/>
    <w:rsid w:val="00191421"/>
    <w:rPr>
      <w:color w:val="0000FF"/>
      <w:u w:val="single"/>
    </w:rPr>
  </w:style>
  <w:style w:type="paragraph" w:customStyle="1" w:styleId="xl27">
    <w:name w:val="xl27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lang w:eastAsia="en-US"/>
    </w:rPr>
  </w:style>
  <w:style w:type="paragraph" w:styleId="Caption">
    <w:name w:val="caption"/>
    <w:basedOn w:val="Normal"/>
    <w:next w:val="Normal"/>
    <w:qFormat/>
    <w:rsid w:val="00191421"/>
    <w:pPr>
      <w:jc w:val="center"/>
    </w:pPr>
    <w:rPr>
      <w:rFonts w:cs="Simplified Arabic"/>
      <w:b/>
      <w:bCs/>
      <w:szCs w:val="28"/>
      <w:lang w:eastAsia="en-US"/>
    </w:rPr>
  </w:style>
  <w:style w:type="paragraph" w:customStyle="1" w:styleId="xl28">
    <w:name w:val="xl28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Normal"/>
    <w:rsid w:val="0019142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BodyTextIndent2">
    <w:name w:val="Body Text Indent 2"/>
    <w:basedOn w:val="Normal"/>
    <w:semiHidden/>
    <w:rsid w:val="00191421"/>
    <w:pPr>
      <w:ind w:left="-122"/>
      <w:jc w:val="right"/>
    </w:pPr>
    <w:rPr>
      <w:sz w:val="20"/>
      <w:szCs w:val="20"/>
    </w:rPr>
  </w:style>
  <w:style w:type="paragraph" w:styleId="BodyTextIndent">
    <w:name w:val="Body Text Indent"/>
    <w:basedOn w:val="Normal"/>
    <w:semiHidden/>
    <w:rsid w:val="00191421"/>
    <w:pPr>
      <w:overflowPunct w:val="0"/>
      <w:autoSpaceDE w:val="0"/>
      <w:autoSpaceDN w:val="0"/>
      <w:bidi w:val="0"/>
      <w:adjustRightInd w:val="0"/>
      <w:ind w:left="142"/>
      <w:jc w:val="lowKashida"/>
      <w:textAlignment w:val="baseline"/>
    </w:pPr>
    <w:rPr>
      <w:noProof/>
      <w:szCs w:val="20"/>
      <w:lang w:eastAsia="en-US"/>
    </w:rPr>
  </w:style>
  <w:style w:type="paragraph" w:styleId="Title">
    <w:name w:val="Title"/>
    <w:basedOn w:val="Normal"/>
    <w:qFormat/>
    <w:rsid w:val="00191421"/>
    <w:pPr>
      <w:overflowPunct w:val="0"/>
      <w:autoSpaceDE w:val="0"/>
      <w:autoSpaceDN w:val="0"/>
      <w:bidi w:val="0"/>
      <w:adjustRightInd w:val="0"/>
      <w:jc w:val="center"/>
      <w:textAlignment w:val="baseline"/>
    </w:pPr>
    <w:rPr>
      <w:b/>
      <w:bCs/>
      <w:lang w:eastAsia="en-US"/>
    </w:rPr>
  </w:style>
  <w:style w:type="paragraph" w:styleId="Header">
    <w:name w:val="header"/>
    <w:basedOn w:val="Normal"/>
    <w:semiHidden/>
    <w:rsid w:val="0019142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91421"/>
  </w:style>
  <w:style w:type="character" w:styleId="FollowedHyperlink">
    <w:name w:val="FollowedHyperlink"/>
    <w:basedOn w:val="DefaultParagraphFont"/>
    <w:semiHidden/>
    <w:rsid w:val="00191421"/>
    <w:rPr>
      <w:color w:val="800080"/>
      <w:u w:val="single"/>
    </w:rPr>
  </w:style>
  <w:style w:type="paragraph" w:styleId="BodyText2">
    <w:name w:val="Body Text 2"/>
    <w:basedOn w:val="Normal"/>
    <w:semiHidden/>
    <w:rsid w:val="00191421"/>
    <w:pPr>
      <w:jc w:val="right"/>
    </w:pPr>
  </w:style>
  <w:style w:type="paragraph" w:styleId="BodyTextIndent3">
    <w:name w:val="Body Text Indent 3"/>
    <w:basedOn w:val="Normal"/>
    <w:semiHidden/>
    <w:rsid w:val="00191421"/>
    <w:pPr>
      <w:bidi w:val="0"/>
      <w:ind w:firstLine="299"/>
      <w:jc w:val="lowKashida"/>
    </w:pPr>
    <w:rPr>
      <w:lang w:bidi="ar-JO"/>
    </w:rPr>
  </w:style>
  <w:style w:type="paragraph" w:styleId="BodyText3">
    <w:name w:val="Body Text 3"/>
    <w:basedOn w:val="Normal"/>
    <w:semiHidden/>
    <w:rsid w:val="00191421"/>
    <w:pPr>
      <w:bidi w:val="0"/>
      <w:jc w:val="lowKashida"/>
    </w:pPr>
    <w:rPr>
      <w:sz w:val="23"/>
      <w:szCs w:val="23"/>
    </w:rPr>
  </w:style>
  <w:style w:type="paragraph" w:styleId="Subtitle">
    <w:name w:val="Subtitle"/>
    <w:basedOn w:val="Normal"/>
    <w:link w:val="SubtitleChar"/>
    <w:uiPriority w:val="99"/>
    <w:qFormat/>
    <w:rsid w:val="00191421"/>
    <w:pPr>
      <w:jc w:val="center"/>
    </w:pPr>
    <w:rPr>
      <w:rFonts w:cs="Simplified Arabic"/>
      <w:b/>
      <w:bCs/>
    </w:rPr>
  </w:style>
  <w:style w:type="character" w:customStyle="1" w:styleId="longtext1">
    <w:name w:val="long_text1"/>
    <w:basedOn w:val="DefaultParagraphFont"/>
    <w:rsid w:val="00191421"/>
    <w:rPr>
      <w:spacing w:val="40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914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91421"/>
    <w:rPr>
      <w:vertAlign w:val="superscript"/>
    </w:rPr>
  </w:style>
  <w:style w:type="paragraph" w:styleId="BlockText">
    <w:name w:val="Block Text"/>
    <w:basedOn w:val="Normal"/>
    <w:semiHidden/>
    <w:rsid w:val="00191421"/>
    <w:pPr>
      <w:bidi w:val="0"/>
      <w:ind w:left="1134" w:right="1132"/>
      <w:jc w:val="lowKashida"/>
    </w:pPr>
    <w:rPr>
      <w:rFonts w:cs="Traditional Arabic"/>
      <w:snapToGrid w:val="0"/>
      <w:sz w:val="28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D8571B"/>
    <w:rPr>
      <w:rFonts w:cs="Simplified Arabic"/>
      <w:b/>
      <w:bCs/>
      <w:sz w:val="24"/>
      <w:szCs w:val="24"/>
      <w:lang w:eastAsia="ar-SA"/>
    </w:rPr>
  </w:style>
  <w:style w:type="character" w:customStyle="1" w:styleId="shorttext">
    <w:name w:val="short_text"/>
    <w:basedOn w:val="DefaultParagraphFont"/>
    <w:rsid w:val="00D33D33"/>
  </w:style>
  <w:style w:type="character" w:customStyle="1" w:styleId="longtext">
    <w:name w:val="long_text"/>
    <w:basedOn w:val="DefaultParagraphFont"/>
    <w:rsid w:val="00D33D33"/>
  </w:style>
  <w:style w:type="paragraph" w:styleId="BalloonText">
    <w:name w:val="Balloon Text"/>
    <w:basedOn w:val="Normal"/>
    <w:link w:val="BalloonTextChar"/>
    <w:uiPriority w:val="99"/>
    <w:semiHidden/>
    <w:unhideWhenUsed/>
    <w:rsid w:val="00F05A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A14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basedOn w:val="DefaultParagraphFont"/>
    <w:rsid w:val="00E75D1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2B5"/>
    <w:rPr>
      <w:lang w:eastAsia="ar-SA"/>
    </w:rPr>
  </w:style>
  <w:style w:type="paragraph" w:styleId="ListParagraph">
    <w:name w:val="List Paragraph"/>
    <w:basedOn w:val="Normal"/>
    <w:uiPriority w:val="34"/>
    <w:qFormat/>
    <w:rsid w:val="00F338A4"/>
    <w:pPr>
      <w:bidi w:val="0"/>
      <w:ind w:left="720"/>
      <w:contextualSpacing/>
    </w:pPr>
    <w:rPr>
      <w:rFonts w:cs="Traditional Arabic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1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47941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57759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8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1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09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4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7693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5C332-EFA7-451A-8AE5-78F4AE24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1222</Words>
  <Characters>7264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pcbs</Company>
  <LinksUpToDate>false</LinksUpToDate>
  <CharactersWithSpaces>8470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ashrafh</cp:lastModifiedBy>
  <cp:revision>3</cp:revision>
  <cp:lastPrinted>2016-11-30T06:59:00Z</cp:lastPrinted>
  <dcterms:created xsi:type="dcterms:W3CDTF">2016-12-13T12:40:00Z</dcterms:created>
  <dcterms:modified xsi:type="dcterms:W3CDTF">2016-12-14T11:26:00Z</dcterms:modified>
</cp:coreProperties>
</file>